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04" w:rsidRPr="00E2303F" w:rsidRDefault="00055304" w:rsidP="00055304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30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Информация</w:t>
      </w:r>
    </w:p>
    <w:p w:rsidR="00232AA4" w:rsidRDefault="00055304" w:rsidP="00055304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E2303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по </w:t>
      </w:r>
      <w:r w:rsidR="00232A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блоку городского жилищно-коммунального хозяйства</w:t>
      </w:r>
    </w:p>
    <w:p w:rsidR="00926C40" w:rsidRDefault="00055304" w:rsidP="00926C40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за</w:t>
      </w:r>
      <w:r w:rsidR="00232AA4"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241CF2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II</w:t>
      </w:r>
      <w:r w:rsidR="00C93A3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полугодие</w:t>
      </w:r>
      <w:r w:rsidR="00232AA4"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2018 года,</w:t>
      </w:r>
      <w:r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232AA4"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за </w:t>
      </w:r>
      <w:r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2019 год</w:t>
      </w:r>
      <w:r w:rsidR="00232AA4"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, за </w:t>
      </w:r>
      <w:r w:rsidR="00241CF2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I</w:t>
      </w:r>
      <w:r w:rsidR="00C93A35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полугодие</w:t>
      </w:r>
      <w:r w:rsidR="00232AA4" w:rsidRPr="00232AA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2020 года</w:t>
      </w:r>
    </w:p>
    <w:p w:rsidR="00926C40" w:rsidRDefault="00926C40" w:rsidP="00926C4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055304" w:rsidRPr="00926C40" w:rsidRDefault="00055304" w:rsidP="00926C40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E2303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8"/>
          <w:szCs w:val="28"/>
          <w:lang w:eastAsia="ru-RU"/>
        </w:rPr>
        <w:t>Благоустройство и санитарная очистка</w:t>
      </w:r>
    </w:p>
    <w:p w:rsidR="00055304" w:rsidRPr="00E2303F" w:rsidRDefault="00055304" w:rsidP="000553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304" w:rsidRPr="00E0227E" w:rsidRDefault="00055304" w:rsidP="00E0227E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предприятием «</w:t>
      </w:r>
      <w:proofErr w:type="spellStart"/>
      <w:r w:rsidRPr="00E022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Тазалык</w:t>
      </w:r>
      <w:proofErr w:type="spellEnd"/>
      <w:r w:rsidRPr="00E0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деятельность в рамках муниципального заказа по регулярной санитарной очистке городской территории, содержанию элементов внешнего благоустройства, также в рамках хозрасчетного принципа – вывоз твердых бытовых отходов. </w:t>
      </w:r>
    </w:p>
    <w:p w:rsidR="002E5D4B" w:rsidRPr="00E0227E" w:rsidRDefault="002E5D4B" w:rsidP="00E0227E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выполненных работ составляет: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99"/>
        <w:gridCol w:w="2046"/>
        <w:gridCol w:w="1843"/>
        <w:gridCol w:w="1984"/>
      </w:tblGrid>
      <w:tr w:rsidR="00241CF2" w:rsidRPr="00E0227E" w:rsidTr="00241CF2">
        <w:tc>
          <w:tcPr>
            <w:tcW w:w="3199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046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заказ (бюджет) – </w:t>
            </w:r>
            <w:r w:rsidRPr="00E02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санитарная очистка и т.д.</w:t>
            </w:r>
          </w:p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млн</w:t>
            </w:r>
            <w:proofErr w:type="gramStart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омов</w:t>
            </w:r>
            <w:proofErr w:type="spellEnd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241CF2" w:rsidRPr="00E0227E" w:rsidRDefault="00241CF2" w:rsidP="00E0227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Вывоз ТБО</w:t>
            </w:r>
          </w:p>
          <w:p w:rsidR="00241CF2" w:rsidRPr="00E0227E" w:rsidRDefault="00241CF2" w:rsidP="00E0227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млн.сомов</w:t>
            </w:r>
            <w:proofErr w:type="spellEnd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млн.сомов</w:t>
            </w:r>
            <w:proofErr w:type="spellEnd"/>
            <w:r w:rsidRPr="00E022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41CF2" w:rsidRPr="00E0227E" w:rsidTr="00241CF2">
        <w:tc>
          <w:tcPr>
            <w:tcW w:w="3199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  <w:tc>
          <w:tcPr>
            <w:tcW w:w="2046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246,3</w:t>
            </w:r>
          </w:p>
        </w:tc>
        <w:tc>
          <w:tcPr>
            <w:tcW w:w="1843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169, 8</w:t>
            </w:r>
          </w:p>
        </w:tc>
        <w:tc>
          <w:tcPr>
            <w:tcW w:w="1984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416,1</w:t>
            </w:r>
          </w:p>
        </w:tc>
      </w:tr>
      <w:tr w:rsidR="00241CF2" w:rsidRPr="00E0227E" w:rsidTr="00241CF2">
        <w:tc>
          <w:tcPr>
            <w:tcW w:w="3199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6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540,9</w:t>
            </w:r>
          </w:p>
        </w:tc>
        <w:tc>
          <w:tcPr>
            <w:tcW w:w="1843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296, 8</w:t>
            </w:r>
          </w:p>
        </w:tc>
        <w:tc>
          <w:tcPr>
            <w:tcW w:w="1984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837, 8</w:t>
            </w:r>
          </w:p>
        </w:tc>
      </w:tr>
      <w:tr w:rsidR="00241CF2" w:rsidRPr="00E0227E" w:rsidTr="00241CF2">
        <w:tc>
          <w:tcPr>
            <w:tcW w:w="3199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</w:t>
            </w:r>
          </w:p>
        </w:tc>
        <w:tc>
          <w:tcPr>
            <w:tcW w:w="2046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Style w:val="FontStyle12"/>
                <w:sz w:val="24"/>
                <w:szCs w:val="24"/>
              </w:rPr>
              <w:t>262,0</w:t>
            </w:r>
          </w:p>
        </w:tc>
        <w:tc>
          <w:tcPr>
            <w:tcW w:w="1843" w:type="dxa"/>
          </w:tcPr>
          <w:p w:rsidR="00241CF2" w:rsidRPr="00E0227E" w:rsidRDefault="00241CF2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Style w:val="FontStyle12"/>
                <w:sz w:val="24"/>
                <w:szCs w:val="24"/>
              </w:rPr>
              <w:t>132,8</w:t>
            </w:r>
          </w:p>
        </w:tc>
        <w:tc>
          <w:tcPr>
            <w:tcW w:w="1984" w:type="dxa"/>
          </w:tcPr>
          <w:p w:rsidR="00241CF2" w:rsidRPr="00E0227E" w:rsidRDefault="00604826" w:rsidP="00E0227E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27E">
              <w:rPr>
                <w:rStyle w:val="FontStyle12"/>
                <w:b/>
                <w:sz w:val="24"/>
                <w:szCs w:val="24"/>
              </w:rPr>
              <w:t>394,8</w:t>
            </w:r>
          </w:p>
        </w:tc>
      </w:tr>
    </w:tbl>
    <w:p w:rsidR="00926C40" w:rsidRPr="00E0227E" w:rsidRDefault="00926C40" w:rsidP="00E0227E">
      <w:pPr>
        <w:pStyle w:val="a3"/>
        <w:tabs>
          <w:tab w:val="left" w:pos="9356"/>
        </w:tabs>
        <w:ind w:left="0" w:right="-1" w:firstLine="709"/>
        <w:contextualSpacing/>
        <w:rPr>
          <w:szCs w:val="28"/>
        </w:rPr>
      </w:pPr>
      <w:r w:rsidRPr="00E0227E">
        <w:rPr>
          <w:szCs w:val="28"/>
        </w:rPr>
        <w:t xml:space="preserve">В объеме муниципального заказа предприятие производит  санитарную очистку </w:t>
      </w:r>
      <w:r w:rsidRPr="00E0227E">
        <w:rPr>
          <w:bCs/>
          <w:szCs w:val="28"/>
        </w:rPr>
        <w:t>212 городских улиц, 3 площадей, 28 скверов, 1 парка и 2 бульваров</w:t>
      </w:r>
      <w:r w:rsidRPr="00E0227E">
        <w:rPr>
          <w:szCs w:val="28"/>
        </w:rPr>
        <w:t>. Все эти объемы распределены по технологическим картам  с указанием определенного участка (место нахождения), вида работ, единицы измерения, наименования убираемого объема, периодичности убираемого объема, нормы времени, расценки и заработной платы, общее количество технологических карт составляет 1176 штук. Для оперативного решения задач по санитарной очистке территории, город был разделен на 5 участков, где работают 969 человек.</w:t>
      </w:r>
    </w:p>
    <w:p w:rsidR="00926C40" w:rsidRPr="00E0227E" w:rsidRDefault="00926C40" w:rsidP="00E02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27E">
        <w:rPr>
          <w:rFonts w:ascii="Times New Roman" w:eastAsia="Calibri" w:hAnsi="Times New Roman" w:cs="Times New Roman"/>
          <w:sz w:val="28"/>
          <w:szCs w:val="28"/>
        </w:rPr>
        <w:t>Всего абонентская база МП «</w:t>
      </w:r>
      <w:proofErr w:type="spellStart"/>
      <w:r w:rsidRPr="00E0227E">
        <w:rPr>
          <w:rFonts w:ascii="Times New Roman" w:eastAsia="Calibri" w:hAnsi="Times New Roman" w:cs="Times New Roman"/>
          <w:sz w:val="28"/>
          <w:szCs w:val="28"/>
        </w:rPr>
        <w:t>Тазалык</w:t>
      </w:r>
      <w:proofErr w:type="spellEnd"/>
      <w:r w:rsidRPr="00E0227E">
        <w:rPr>
          <w:rFonts w:ascii="Times New Roman" w:eastAsia="Calibri" w:hAnsi="Times New Roman" w:cs="Times New Roman"/>
          <w:sz w:val="28"/>
          <w:szCs w:val="28"/>
        </w:rPr>
        <w:t>» по сбору и вывозу твердых бытовых отходов  по состоянию на 1 июля 2020 года составляет – 511,6</w:t>
      </w:r>
      <w:r w:rsidRPr="00E02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0227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0227E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E0227E">
        <w:rPr>
          <w:rFonts w:ascii="Times New Roman" w:eastAsia="Calibri" w:hAnsi="Times New Roman" w:cs="Times New Roman"/>
          <w:sz w:val="28"/>
          <w:szCs w:val="28"/>
        </w:rPr>
        <w:t>еловек</w:t>
      </w:r>
      <w:proofErr w:type="spellEnd"/>
      <w:r w:rsidRPr="00E0227E">
        <w:rPr>
          <w:rFonts w:ascii="Times New Roman" w:eastAsia="Calibri" w:hAnsi="Times New Roman" w:cs="Times New Roman"/>
          <w:sz w:val="28"/>
          <w:szCs w:val="28"/>
        </w:rPr>
        <w:t xml:space="preserve"> (без Октябрьского района). За отчетный период МП «</w:t>
      </w:r>
      <w:proofErr w:type="spellStart"/>
      <w:r w:rsidRPr="00E0227E">
        <w:rPr>
          <w:rFonts w:ascii="Times New Roman" w:eastAsia="Calibri" w:hAnsi="Times New Roman" w:cs="Times New Roman"/>
          <w:sz w:val="28"/>
          <w:szCs w:val="28"/>
        </w:rPr>
        <w:t>Тазалык</w:t>
      </w:r>
      <w:proofErr w:type="spellEnd"/>
      <w:r w:rsidRPr="00E0227E">
        <w:rPr>
          <w:rFonts w:ascii="Times New Roman" w:eastAsia="Calibri" w:hAnsi="Times New Roman" w:cs="Times New Roman"/>
          <w:sz w:val="28"/>
          <w:szCs w:val="28"/>
        </w:rPr>
        <w:t xml:space="preserve">» заключено 8 409,0  договоров с хозяйствующими субъектами на сумму 157 086,1 тыс. сомов. </w:t>
      </w:r>
    </w:p>
    <w:p w:rsidR="00604826" w:rsidRPr="00E0227E" w:rsidRDefault="00604826" w:rsidP="00E02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227E">
        <w:rPr>
          <w:rFonts w:ascii="Times New Roman" w:eastAsia="Calibri" w:hAnsi="Times New Roman" w:cs="Times New Roman"/>
          <w:sz w:val="28"/>
          <w:szCs w:val="28"/>
        </w:rPr>
        <w:t>Вывоз твердых бытовых отходов на полигон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9"/>
        <w:gridCol w:w="2176"/>
        <w:gridCol w:w="3792"/>
      </w:tblGrid>
      <w:tr w:rsidR="00604826" w:rsidRPr="00E0227E" w:rsidTr="00604826">
        <w:tc>
          <w:tcPr>
            <w:tcW w:w="3319" w:type="dxa"/>
          </w:tcPr>
          <w:p w:rsidR="00604826" w:rsidRPr="00E0227E" w:rsidRDefault="00604826" w:rsidP="00E02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2176" w:type="dxa"/>
          </w:tcPr>
          <w:p w:rsidR="00604826" w:rsidRPr="00E0227E" w:rsidRDefault="00604826" w:rsidP="00E02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792" w:type="dxa"/>
          </w:tcPr>
          <w:p w:rsidR="00604826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22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Объем</w:t>
            </w:r>
          </w:p>
        </w:tc>
      </w:tr>
      <w:tr w:rsidR="00ED11E5" w:rsidRPr="00E0227E" w:rsidTr="00604826">
        <w:tc>
          <w:tcPr>
            <w:tcW w:w="3319" w:type="dxa"/>
          </w:tcPr>
          <w:p w:rsidR="00ED11E5" w:rsidRPr="00E0227E" w:rsidRDefault="00ED11E5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  <w:tc>
          <w:tcPr>
            <w:tcW w:w="2176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тыс.тн</w:t>
            </w:r>
            <w:proofErr w:type="spellEnd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27E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ED11E5" w:rsidRPr="00E0227E" w:rsidTr="00604826">
        <w:tc>
          <w:tcPr>
            <w:tcW w:w="3319" w:type="dxa"/>
          </w:tcPr>
          <w:p w:rsidR="00ED11E5" w:rsidRPr="00E0227E" w:rsidRDefault="00ED11E5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76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тыс.тн</w:t>
            </w:r>
            <w:proofErr w:type="spellEnd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ED11E5" w:rsidRPr="00E0227E" w:rsidTr="00604826">
        <w:tc>
          <w:tcPr>
            <w:tcW w:w="3319" w:type="dxa"/>
          </w:tcPr>
          <w:p w:rsidR="00ED11E5" w:rsidRPr="00E0227E" w:rsidRDefault="00ED11E5" w:rsidP="00E0227E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0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</w:t>
            </w:r>
          </w:p>
        </w:tc>
        <w:tc>
          <w:tcPr>
            <w:tcW w:w="2176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тыс.тн</w:t>
            </w:r>
            <w:proofErr w:type="spellEnd"/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ED11E5" w:rsidRPr="00E0227E" w:rsidRDefault="00ED11E5" w:rsidP="00E022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27E">
              <w:rPr>
                <w:rFonts w:ascii="Times New Roman" w:eastAsia="Calibri" w:hAnsi="Times New Roman" w:cs="Times New Roman"/>
                <w:sz w:val="24"/>
                <w:szCs w:val="24"/>
              </w:rPr>
              <w:t>88,6</w:t>
            </w:r>
          </w:p>
        </w:tc>
      </w:tr>
    </w:tbl>
    <w:p w:rsidR="00C93A35" w:rsidRPr="00E0227E" w:rsidRDefault="00C93A35" w:rsidP="00E02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304" w:rsidRPr="00E0227E" w:rsidRDefault="00055304" w:rsidP="00E02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2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Октябрьскому району на сегодня ведет самостоятельную деятельность по вывозу твердых бытовых отходов  </w:t>
      </w:r>
      <w:proofErr w:type="spellStart"/>
      <w:r w:rsidRPr="00E0227E">
        <w:rPr>
          <w:rFonts w:ascii="Times New Roman" w:eastAsia="Calibri" w:hAnsi="Times New Roman" w:cs="Times New Roman"/>
          <w:sz w:val="28"/>
          <w:szCs w:val="28"/>
          <w:lang w:eastAsia="ru-RU"/>
        </w:rPr>
        <w:t>ОсОО</w:t>
      </w:r>
      <w:proofErr w:type="spellEnd"/>
      <w:r w:rsidRPr="00E02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0227E">
        <w:rPr>
          <w:rFonts w:ascii="Times New Roman" w:eastAsia="Calibri" w:hAnsi="Times New Roman" w:cs="Times New Roman"/>
          <w:sz w:val="28"/>
          <w:szCs w:val="28"/>
          <w:lang w:eastAsia="ru-RU"/>
        </w:rPr>
        <w:t>Комтранском</w:t>
      </w:r>
      <w:proofErr w:type="spellEnd"/>
      <w:r w:rsidRPr="00E022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055304" w:rsidRPr="00E0227E" w:rsidRDefault="00055304" w:rsidP="00E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Мэрией города Бишкек реализуется проект «Улучшение системы управления твердыми бытовыми отходами в городе Бишкек» по линии ЕБРР на сумму 22 млн. евро, в том числе 11 млн. евро - грант.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lastRenderedPageBreak/>
        <w:t>Начало реализации проекта – 2015 год. Срок окончания реализации проекта декабрь 2021 год (без учета непредвиденных обстоятельств).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В ходе реализации проекта: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- приобретены контейнеры для сбора ТБО (емкостью 1,1 куб. м.) в количестве 5326 ед., пластиковые баки емкостью 50 л. в количестве 300 ед. на общую сумму 1 млн.  513 тыс. евро; 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-  проведена реконструкция 958 контейнерных площадок на сумму 1 млн. 155 тыс. евро;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-  закуплено  29 единиц мусоровозов на сумму 1 млн. 471 тыс. евро и 3 единицы дорожной техники на сумму 195 тыс. евро;</w:t>
      </w:r>
    </w:p>
    <w:p w:rsidR="00E0227E" w:rsidRPr="00E0227E" w:rsidRDefault="00E0227E" w:rsidP="00E0227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проводятся работы по проектированию и строительству нового санитарного полигона на сумму 7 млн. 477 тыс. евро;  </w:t>
      </w:r>
    </w:p>
    <w:p w:rsidR="00E0227E" w:rsidRPr="00E0227E" w:rsidRDefault="00E0227E" w:rsidP="00E0227E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проводятся работы по закрытию и рекультивации действующей свалки бытовых отходов на сумму 1 596,90 тыс. евро; 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За 2019 год проведены работы по подготовке инфраструктуры, в рамках которых завершено бурение скважины для воды, начаты строительство подъездной дороги и линии электропитания. Подготовлена ячейка для захоронения отходов, осуществлены планировочные работы для внутренних сооружений и коммуникаций нового санитарного полигона и завершены строительные работы нулевого цикла административного здания, КПП и гаража. 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Таким образом, на сегодня в рамках данного проекта заключены 8 договоров на общую сумму 14 млн. 573 тыс. евро, из них освоены 10 млн. 253 тыс. евро, исполнены 6 контрактов и в работе 2 контракта: проектирование и строительство нового санитарного полигона; закрытие и рекультивация действующей свалки бытовых отходов.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27E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проводятся 3 тендерных процессов: </w:t>
      </w:r>
    </w:p>
    <w:p w:rsidR="00E0227E" w:rsidRPr="00E0227E" w:rsidRDefault="00E0227E" w:rsidP="00E0227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На проектирование и строительство мусоросортировочного завода на сумму 6 </w:t>
      </w:r>
      <w:proofErr w:type="gramStart"/>
      <w:r w:rsidRPr="00E0227E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0227E">
        <w:rPr>
          <w:rFonts w:ascii="Times New Roman" w:hAnsi="Times New Roman" w:cs="Times New Roman"/>
          <w:sz w:val="28"/>
          <w:szCs w:val="28"/>
        </w:rPr>
        <w:t xml:space="preserve"> 280 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тыс.евро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>;</w:t>
      </w:r>
    </w:p>
    <w:p w:rsidR="00E0227E" w:rsidRPr="00E0227E" w:rsidRDefault="00E0227E" w:rsidP="00E0227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На приобретение системы GPS- мониторинга, анализа и управления спецтехникой по сбору и вывозу ТБО  на сумму 120,0 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22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0227E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>;</w:t>
      </w:r>
    </w:p>
    <w:p w:rsidR="00E0227E" w:rsidRPr="00E0227E" w:rsidRDefault="00E0227E" w:rsidP="00E0227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 xml:space="preserve">На приобретение системы 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биллинга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 xml:space="preserve"> для муниципального предприятия «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 xml:space="preserve">», разработку и внедрению программного обеспечения на сумму 250 </w:t>
      </w:r>
      <w:proofErr w:type="spellStart"/>
      <w:r w:rsidRPr="00E0227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227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E0227E">
        <w:rPr>
          <w:rFonts w:ascii="Times New Roman" w:hAnsi="Times New Roman" w:cs="Times New Roman"/>
          <w:sz w:val="28"/>
          <w:szCs w:val="28"/>
        </w:rPr>
        <w:t>вро</w:t>
      </w:r>
      <w:proofErr w:type="spellEnd"/>
      <w:r w:rsidRPr="00E0227E">
        <w:rPr>
          <w:rFonts w:ascii="Times New Roman" w:hAnsi="Times New Roman" w:cs="Times New Roman"/>
          <w:sz w:val="28"/>
          <w:szCs w:val="28"/>
        </w:rPr>
        <w:t>.</w:t>
      </w:r>
    </w:p>
    <w:p w:rsidR="00E0227E" w:rsidRPr="00E0227E" w:rsidRDefault="00E0227E" w:rsidP="00E02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7E">
        <w:rPr>
          <w:rFonts w:ascii="Times New Roman" w:hAnsi="Times New Roman" w:cs="Times New Roman"/>
          <w:sz w:val="28"/>
          <w:szCs w:val="28"/>
        </w:rPr>
        <w:t>Проектирование мусоросортировочного завода ориентировочно начнется в октябре 2020 года, строительство – в апреле 2020 года. Окончание строительства – декабрь 2021 года.</w:t>
      </w:r>
    </w:p>
    <w:p w:rsidR="00E0227E" w:rsidRDefault="00E0227E" w:rsidP="00055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5304" w:rsidRPr="00E2303F" w:rsidRDefault="00055304" w:rsidP="00055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303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Озеленение и содержание зеленых насаждений</w:t>
      </w:r>
    </w:p>
    <w:p w:rsidR="00055304" w:rsidRPr="00E2303F" w:rsidRDefault="00055304" w:rsidP="00055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D0530" w:rsidRPr="008D0530" w:rsidRDefault="008D0530" w:rsidP="008D0530">
      <w:pPr>
        <w:kinsoku w:val="0"/>
        <w:overflowPunct w:val="0"/>
        <w:spacing w:after="0" w:line="240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Pr="008D05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бщая площадь зеленых насаждений по городу Бишкек составля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ет порядка</w:t>
      </w:r>
      <w:r w:rsidRPr="008D05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4887 га, из которых на обслужива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нии МП «</w:t>
      </w:r>
      <w:proofErr w:type="spellStart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Бишкекзеленхоз</w:t>
      </w:r>
      <w:proofErr w:type="spellEnd"/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  856,0 </w:t>
      </w:r>
      <w:r w:rsidRPr="008D05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га, в том числе: 160 улиц, 7 парков, 38 скверов, 2 бульвара. </w:t>
      </w:r>
      <w:r w:rsidRPr="008D05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>Произрастает более 90 видов дер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евьев, 32 вида кустарниковых и </w:t>
      </w:r>
      <w:r w:rsidRPr="008D05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68 – разных видов цветов.</w:t>
      </w:r>
    </w:p>
    <w:p w:rsidR="008D0530" w:rsidRDefault="008D0530" w:rsidP="008D05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Посадка зеленых насаждений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992"/>
        <w:gridCol w:w="1276"/>
        <w:gridCol w:w="1276"/>
        <w:gridCol w:w="1275"/>
      </w:tblGrid>
      <w:tr w:rsidR="004A213D" w:rsidTr="004A213D">
        <w:trPr>
          <w:trHeight w:val="677"/>
        </w:trPr>
        <w:tc>
          <w:tcPr>
            <w:tcW w:w="2802" w:type="dxa"/>
          </w:tcPr>
          <w:p w:rsidR="004A213D" w:rsidRPr="00ED11E5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11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59" w:type="dxa"/>
          </w:tcPr>
          <w:p w:rsidR="004A213D" w:rsidRDefault="004A213D" w:rsidP="00416D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Деревья</w:t>
            </w:r>
          </w:p>
          <w:p w:rsidR="004A213D" w:rsidRPr="00416D87" w:rsidRDefault="004A213D" w:rsidP="00416D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D87">
              <w:rPr>
                <w:rFonts w:ascii="Times New Roman" w:eastAsia="Calibri" w:hAnsi="Times New Roman" w:cs="Times New Roman"/>
                <w:sz w:val="20"/>
                <w:szCs w:val="20"/>
              </w:rPr>
              <w:t>(л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ист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6D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6D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</w:p>
          <w:p w:rsidR="004A213D" w:rsidRDefault="004A213D" w:rsidP="00416D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416D8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4A213D" w:rsidRPr="004A213D" w:rsidRDefault="004A213D" w:rsidP="00416D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A21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4A213D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Кустарники</w:t>
            </w:r>
          </w:p>
          <w:p w:rsidR="004A213D" w:rsidRPr="00ED11E5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21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4A213D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Живая изгородь</w:t>
            </w:r>
          </w:p>
          <w:p w:rsidR="004A213D" w:rsidRPr="00ED11E5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21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4A213D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Однолетние цветы</w:t>
            </w:r>
          </w:p>
          <w:p w:rsidR="004A213D" w:rsidRPr="00ED11E5" w:rsidRDefault="004A213D" w:rsidP="00366F5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213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шт.</w:t>
            </w:r>
          </w:p>
        </w:tc>
        <w:tc>
          <w:tcPr>
            <w:tcW w:w="1275" w:type="dxa"/>
          </w:tcPr>
          <w:p w:rsidR="004A213D" w:rsidRDefault="004A213D" w:rsidP="00416D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-во ирригации</w:t>
            </w:r>
          </w:p>
          <w:p w:rsidR="004A213D" w:rsidRDefault="004A213D" w:rsidP="00416D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4A213D" w:rsidTr="004A213D">
        <w:tc>
          <w:tcPr>
            <w:tcW w:w="2802" w:type="dxa"/>
          </w:tcPr>
          <w:p w:rsidR="004A213D" w:rsidRPr="00416D87" w:rsidRDefault="004A213D" w:rsidP="00366F58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1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 года</w:t>
            </w:r>
          </w:p>
        </w:tc>
        <w:tc>
          <w:tcPr>
            <w:tcW w:w="1559" w:type="dxa"/>
          </w:tcPr>
          <w:p w:rsidR="004A213D" w:rsidRPr="00416D87" w:rsidRDefault="004A213D" w:rsidP="0036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92" w:type="dxa"/>
          </w:tcPr>
          <w:p w:rsidR="004A213D" w:rsidRPr="00416D87" w:rsidRDefault="004A213D" w:rsidP="0036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1276" w:type="dxa"/>
          </w:tcPr>
          <w:p w:rsidR="004A213D" w:rsidRPr="00416D87" w:rsidRDefault="004A213D" w:rsidP="00366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1276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9B5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275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A213D" w:rsidTr="004A213D">
        <w:tc>
          <w:tcPr>
            <w:tcW w:w="2802" w:type="dxa"/>
          </w:tcPr>
          <w:p w:rsidR="004A213D" w:rsidRPr="00416D87" w:rsidRDefault="004A213D" w:rsidP="00366F58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8075</w:t>
            </w:r>
          </w:p>
        </w:tc>
        <w:tc>
          <w:tcPr>
            <w:tcW w:w="992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1276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33200</w:t>
            </w:r>
          </w:p>
        </w:tc>
        <w:tc>
          <w:tcPr>
            <w:tcW w:w="1276" w:type="dxa"/>
          </w:tcPr>
          <w:p w:rsidR="004A213D" w:rsidRPr="00416D87" w:rsidRDefault="004A213D" w:rsidP="00416D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2</w:t>
            </w:r>
            <w:r w:rsidR="009B596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264</w:t>
            </w:r>
            <w:r w:rsidR="009B5965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16D87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141 </w:t>
            </w:r>
          </w:p>
        </w:tc>
        <w:tc>
          <w:tcPr>
            <w:tcW w:w="1275" w:type="dxa"/>
          </w:tcPr>
          <w:p w:rsidR="004A213D" w:rsidRPr="00416D87" w:rsidRDefault="004A213D" w:rsidP="00416D87">
            <w:pPr>
              <w:jc w:val="center"/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11,7</w:t>
            </w:r>
          </w:p>
        </w:tc>
      </w:tr>
      <w:tr w:rsidR="004A213D" w:rsidTr="004A213D">
        <w:tc>
          <w:tcPr>
            <w:tcW w:w="2802" w:type="dxa"/>
          </w:tcPr>
          <w:p w:rsidR="004A213D" w:rsidRPr="00416D87" w:rsidRDefault="004A213D" w:rsidP="00366F58">
            <w:pPr>
              <w:tabs>
                <w:tab w:val="left" w:pos="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D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1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2020 года</w:t>
            </w:r>
          </w:p>
        </w:tc>
        <w:tc>
          <w:tcPr>
            <w:tcW w:w="1559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8038</w:t>
            </w:r>
          </w:p>
        </w:tc>
        <w:tc>
          <w:tcPr>
            <w:tcW w:w="992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</w:tcPr>
          <w:p w:rsidR="004A213D" w:rsidRPr="00416D87" w:rsidRDefault="004A213D" w:rsidP="004A21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30750</w:t>
            </w:r>
          </w:p>
        </w:tc>
        <w:tc>
          <w:tcPr>
            <w:tcW w:w="1276" w:type="dxa"/>
          </w:tcPr>
          <w:p w:rsidR="004A213D" w:rsidRPr="00416D87" w:rsidRDefault="009B5965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1 231 373</w:t>
            </w:r>
          </w:p>
        </w:tc>
        <w:tc>
          <w:tcPr>
            <w:tcW w:w="1275" w:type="dxa"/>
          </w:tcPr>
          <w:p w:rsidR="004A213D" w:rsidRPr="00416D87" w:rsidRDefault="004A213D" w:rsidP="00366F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</w:tbl>
    <w:p w:rsidR="00C93A35" w:rsidRDefault="00C93A35" w:rsidP="004A2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55A" w:rsidRPr="0077555A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5A">
        <w:rPr>
          <w:rFonts w:ascii="Times New Roman" w:hAnsi="Times New Roman" w:cs="Times New Roman"/>
          <w:sz w:val="28"/>
          <w:szCs w:val="28"/>
        </w:rPr>
        <w:t xml:space="preserve">На обслуживании муниципалитета находятся 8 парковых зон, общей площадью </w:t>
      </w:r>
      <w:r w:rsidRPr="0077555A">
        <w:rPr>
          <w:rFonts w:ascii="Times New Roman" w:hAnsi="Times New Roman" w:cs="Times New Roman"/>
          <w:b/>
          <w:sz w:val="28"/>
          <w:szCs w:val="28"/>
        </w:rPr>
        <w:t>374,62 га</w:t>
      </w:r>
      <w:r w:rsidRPr="00775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55A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5A">
        <w:rPr>
          <w:rFonts w:ascii="Times New Roman" w:hAnsi="Times New Roman" w:cs="Times New Roman"/>
          <w:sz w:val="28"/>
          <w:szCs w:val="28"/>
        </w:rPr>
        <w:t xml:space="preserve">В целях озеленения города и создания благоприятных условий для проведения досуга горожан </w:t>
      </w:r>
      <w:r>
        <w:rPr>
          <w:rFonts w:ascii="Times New Roman" w:hAnsi="Times New Roman" w:cs="Times New Roman"/>
          <w:sz w:val="28"/>
          <w:szCs w:val="28"/>
        </w:rPr>
        <w:t>с 2018 года начаты работы по комплексному озеленению городской территории:</w:t>
      </w:r>
    </w:p>
    <w:p w:rsidR="007E0466" w:rsidRPr="007E0466" w:rsidRDefault="0077555A" w:rsidP="007E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466">
        <w:rPr>
          <w:rFonts w:ascii="Times New Roman" w:hAnsi="Times New Roman" w:cs="Times New Roman"/>
          <w:b/>
          <w:sz w:val="28"/>
          <w:szCs w:val="28"/>
        </w:rPr>
        <w:t>В 2018 году</w:t>
      </w:r>
      <w:r w:rsidRPr="007E0466">
        <w:rPr>
          <w:rFonts w:ascii="Times New Roman" w:hAnsi="Times New Roman" w:cs="Times New Roman"/>
          <w:sz w:val="28"/>
          <w:szCs w:val="28"/>
        </w:rPr>
        <w:t xml:space="preserve"> </w:t>
      </w:r>
      <w:r w:rsidR="007E0466" w:rsidRPr="007E0466">
        <w:rPr>
          <w:rFonts w:ascii="Times New Roman" w:hAnsi="Times New Roman" w:cs="Times New Roman"/>
          <w:sz w:val="28"/>
          <w:szCs w:val="28"/>
        </w:rPr>
        <w:t xml:space="preserve">были разбиты новые клумбы с элементами ландшафтного дизайна по </w:t>
      </w:r>
      <w:proofErr w:type="spellStart"/>
      <w:r w:rsidR="007E0466" w:rsidRPr="007E046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7E0466" w:rsidRPr="007E04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E0466" w:rsidRPr="007E0466">
        <w:rPr>
          <w:rFonts w:ascii="Times New Roman" w:hAnsi="Times New Roman" w:cs="Times New Roman"/>
          <w:sz w:val="28"/>
          <w:szCs w:val="28"/>
        </w:rPr>
        <w:t>уэзова</w:t>
      </w:r>
      <w:proofErr w:type="spellEnd"/>
      <w:r w:rsidR="007E0466" w:rsidRPr="007E0466">
        <w:rPr>
          <w:rFonts w:ascii="Times New Roman" w:hAnsi="Times New Roman" w:cs="Times New Roman"/>
          <w:sz w:val="28"/>
          <w:szCs w:val="28"/>
        </w:rPr>
        <w:t xml:space="preserve"> – «Аламедин-1» (тележка с мостом), возле Восточного автовокзала (цветочная машина),  по </w:t>
      </w:r>
      <w:proofErr w:type="spellStart"/>
      <w:r w:rsidR="007E0466" w:rsidRPr="007E0466">
        <w:rPr>
          <w:rFonts w:ascii="Times New Roman" w:hAnsi="Times New Roman" w:cs="Times New Roman"/>
          <w:sz w:val="28"/>
          <w:szCs w:val="28"/>
        </w:rPr>
        <w:t>ул.А.Масалиева</w:t>
      </w:r>
      <w:proofErr w:type="spellEnd"/>
      <w:r w:rsidR="007E0466" w:rsidRPr="007E0466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7E0466" w:rsidRPr="007E0466">
        <w:rPr>
          <w:rFonts w:ascii="Times New Roman" w:hAnsi="Times New Roman" w:cs="Times New Roman"/>
          <w:sz w:val="28"/>
          <w:szCs w:val="28"/>
        </w:rPr>
        <w:t>Тыналиева</w:t>
      </w:r>
      <w:proofErr w:type="spellEnd"/>
      <w:r w:rsidR="007E0466" w:rsidRPr="007E0466">
        <w:rPr>
          <w:rFonts w:ascii="Times New Roman" w:hAnsi="Times New Roman" w:cs="Times New Roman"/>
          <w:sz w:val="28"/>
          <w:szCs w:val="28"/>
        </w:rPr>
        <w:t>, у отеля «</w:t>
      </w:r>
      <w:proofErr w:type="spellStart"/>
      <w:r w:rsidR="007E0466" w:rsidRPr="007E0466">
        <w:rPr>
          <w:rFonts w:ascii="Times New Roman" w:hAnsi="Times New Roman" w:cs="Times New Roman"/>
          <w:sz w:val="28"/>
          <w:szCs w:val="28"/>
        </w:rPr>
        <w:t>Дамас</w:t>
      </w:r>
      <w:proofErr w:type="spellEnd"/>
      <w:r w:rsidR="007E0466" w:rsidRPr="007E0466">
        <w:rPr>
          <w:rFonts w:ascii="Times New Roman" w:hAnsi="Times New Roman" w:cs="Times New Roman"/>
          <w:sz w:val="28"/>
          <w:szCs w:val="28"/>
        </w:rPr>
        <w:t>»  (композиция «</w:t>
      </w:r>
      <w:proofErr w:type="spellStart"/>
      <w:r w:rsidR="007E0466" w:rsidRPr="007E0466">
        <w:rPr>
          <w:rFonts w:ascii="Times New Roman" w:hAnsi="Times New Roman" w:cs="Times New Roman"/>
          <w:sz w:val="28"/>
          <w:szCs w:val="28"/>
        </w:rPr>
        <w:t>Көөкөр</w:t>
      </w:r>
      <w:proofErr w:type="spellEnd"/>
      <w:r w:rsidR="007E0466" w:rsidRPr="007E0466">
        <w:rPr>
          <w:rFonts w:ascii="Times New Roman" w:hAnsi="Times New Roman" w:cs="Times New Roman"/>
          <w:sz w:val="28"/>
          <w:szCs w:val="28"/>
        </w:rPr>
        <w:t xml:space="preserve"> с чашами). </w:t>
      </w:r>
    </w:p>
    <w:p w:rsidR="007E0466" w:rsidRPr="007E0466" w:rsidRDefault="007E0466" w:rsidP="007E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466">
        <w:rPr>
          <w:rFonts w:ascii="Times New Roman" w:hAnsi="Times New Roman" w:cs="Times New Roman"/>
          <w:sz w:val="28"/>
          <w:szCs w:val="28"/>
        </w:rPr>
        <w:t>Также, в целях улучшения эстетического облика города МП «</w:t>
      </w:r>
      <w:proofErr w:type="spellStart"/>
      <w:r w:rsidRPr="007E0466">
        <w:rPr>
          <w:rFonts w:ascii="Times New Roman" w:hAnsi="Times New Roman" w:cs="Times New Roman"/>
          <w:sz w:val="28"/>
          <w:szCs w:val="28"/>
        </w:rPr>
        <w:t>Бишкекзеленхоз</w:t>
      </w:r>
      <w:proofErr w:type="spellEnd"/>
      <w:r w:rsidRPr="007E0466">
        <w:rPr>
          <w:rFonts w:ascii="Times New Roman" w:hAnsi="Times New Roman" w:cs="Times New Roman"/>
          <w:sz w:val="28"/>
          <w:szCs w:val="28"/>
        </w:rPr>
        <w:t>» были организованы и благоустроены новые скверы на пер</w:t>
      </w:r>
      <w:r>
        <w:rPr>
          <w:rFonts w:ascii="Times New Roman" w:hAnsi="Times New Roman" w:cs="Times New Roman"/>
          <w:sz w:val="28"/>
          <w:szCs w:val="28"/>
        </w:rPr>
        <w:t xml:space="preserve">есечении проспекта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Дэн-Сяопина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улицы Садыгалиева, на пересечении улиц </w:t>
      </w:r>
      <w:proofErr w:type="spellStart"/>
      <w:r w:rsidRPr="007E0466">
        <w:rPr>
          <w:rFonts w:ascii="Times New Roman" w:hAnsi="Times New Roman" w:cs="Times New Roman"/>
          <w:sz w:val="28"/>
          <w:szCs w:val="28"/>
        </w:rPr>
        <w:t>Байтик</w:t>
      </w:r>
      <w:proofErr w:type="spellEnd"/>
      <w:r w:rsidRPr="007E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466">
        <w:rPr>
          <w:rFonts w:ascii="Times New Roman" w:hAnsi="Times New Roman" w:cs="Times New Roman"/>
          <w:sz w:val="28"/>
          <w:szCs w:val="28"/>
        </w:rPr>
        <w:t>Баатыра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E0466">
        <w:rPr>
          <w:rFonts w:ascii="Times New Roman" w:hAnsi="Times New Roman" w:cs="Times New Roman"/>
          <w:sz w:val="28"/>
          <w:szCs w:val="28"/>
        </w:rPr>
        <w:t xml:space="preserve">Суеркулова,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«Джал-23»,  по улице </w:t>
      </w:r>
      <w:r w:rsidRPr="007E0466">
        <w:rPr>
          <w:rFonts w:ascii="Times New Roman" w:hAnsi="Times New Roman" w:cs="Times New Roman"/>
          <w:sz w:val="28"/>
          <w:szCs w:val="28"/>
        </w:rPr>
        <w:t xml:space="preserve">Ибраимова, 42, </w:t>
      </w:r>
      <w:r>
        <w:rPr>
          <w:rFonts w:ascii="Times New Roman" w:hAnsi="Times New Roman" w:cs="Times New Roman"/>
          <w:sz w:val="28"/>
          <w:szCs w:val="28"/>
        </w:rPr>
        <w:t xml:space="preserve">возле дома № 13 в </w:t>
      </w:r>
      <w:r w:rsidRPr="007E0466">
        <w:rPr>
          <w:rFonts w:ascii="Times New Roman" w:hAnsi="Times New Roman" w:cs="Times New Roman"/>
          <w:sz w:val="28"/>
          <w:szCs w:val="28"/>
        </w:rPr>
        <w:t xml:space="preserve">12- </w:t>
      </w:r>
      <w:proofErr w:type="spellStart"/>
      <w:r w:rsidRPr="007E046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E04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пересечении улиц Масалиева и </w:t>
      </w:r>
      <w:r w:rsidRPr="007E0466">
        <w:rPr>
          <w:rFonts w:ascii="Times New Roman" w:hAnsi="Times New Roman" w:cs="Times New Roman"/>
          <w:sz w:val="28"/>
          <w:szCs w:val="28"/>
        </w:rPr>
        <w:t>Шералиева.</w:t>
      </w:r>
    </w:p>
    <w:p w:rsidR="007E0466" w:rsidRPr="007E0466" w:rsidRDefault="007E0466" w:rsidP="007E04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</w:pPr>
      <w:r w:rsidRPr="007E0466">
        <w:rPr>
          <w:rFonts w:ascii="Times New Roman" w:hAnsi="Times New Roman" w:cs="Times New Roman"/>
          <w:b/>
          <w:sz w:val="28"/>
          <w:szCs w:val="28"/>
        </w:rPr>
        <w:t>В 2019 году</w:t>
      </w:r>
      <w:r w:rsidRPr="007E0466">
        <w:rPr>
          <w:rFonts w:ascii="Times New Roman" w:hAnsi="Times New Roman" w:cs="Times New Roman"/>
          <w:sz w:val="28"/>
          <w:szCs w:val="28"/>
        </w:rPr>
        <w:t xml:space="preserve"> </w:t>
      </w:r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завершены работы по строительству парка «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Ынтымак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».  В рамках благоустройства общественных территорий проведены работы по реконструкции сквера «Театральный», организованы зона отдыха на пересечении улиц Анкара и Виноградная, на пересечении улиц 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Тыналиева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 и 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Масалиева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, на пересечении улиц 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Абрахманова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 и Фрунзе, по улице  Ибраимова (ул. Боконбаева), возле школы №96 по улице Тагай-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Бий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.  Проведены работы по поэтапной реконструкции бульваров 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Эркиндик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 и Молодая Гвардия. </w:t>
      </w:r>
    </w:p>
    <w:p w:rsidR="0077555A" w:rsidRPr="007E0466" w:rsidRDefault="007E0466" w:rsidP="007E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Проведены комплексные работы  по организации пешеходной зоны по проспекту</w:t>
      </w:r>
      <w:proofErr w:type="gram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 Ч</w:t>
      </w:r>
      <w:proofErr w:type="gram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уй от улицы </w:t>
      </w:r>
      <w:proofErr w:type="spellStart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>Торокула</w:t>
      </w:r>
      <w:proofErr w:type="spellEnd"/>
      <w:r w:rsidRPr="007E0466"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  <w:t xml:space="preserve"> Айтматова до улицы 7 Апреля.</w:t>
      </w:r>
    </w:p>
    <w:p w:rsidR="0077555A" w:rsidRPr="007E0466" w:rsidRDefault="007E0466" w:rsidP="007E0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466">
        <w:rPr>
          <w:rFonts w:ascii="Times New Roman" w:hAnsi="Times New Roman" w:cs="Times New Roman"/>
          <w:b/>
          <w:sz w:val="28"/>
          <w:szCs w:val="28"/>
        </w:rPr>
        <w:t>В 2020 году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завершено строительство парка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им.Ч.Тулебердиева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парка «Здоровья» и на стадии завершения парк «Ынтымак-2». </w:t>
      </w:r>
      <w:r w:rsidR="0077555A" w:rsidRPr="007E0466">
        <w:rPr>
          <w:rFonts w:ascii="Times New Roman" w:hAnsi="Times New Roman" w:cs="Times New Roman"/>
          <w:sz w:val="28"/>
          <w:szCs w:val="28"/>
        </w:rPr>
        <w:t xml:space="preserve">Также завершены работы по благоустройству зоны отдыха, прилегающей к магазину «Океан». </w:t>
      </w:r>
    </w:p>
    <w:p w:rsidR="0077555A" w:rsidRPr="0077555A" w:rsidRDefault="0077555A" w:rsidP="0077555A">
      <w:pPr>
        <w:pStyle w:val="a6"/>
        <w:spacing w:after="0" w:line="240" w:lineRule="auto"/>
        <w:ind w:left="70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55A" w:rsidRPr="0077555A" w:rsidRDefault="0077555A" w:rsidP="007755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5A">
        <w:rPr>
          <w:rFonts w:ascii="Times New Roman" w:hAnsi="Times New Roman" w:cs="Times New Roman"/>
          <w:b/>
          <w:sz w:val="28"/>
          <w:szCs w:val="28"/>
        </w:rPr>
        <w:t>Строительство велосипедных дорожек и тротуаров</w:t>
      </w:r>
    </w:p>
    <w:p w:rsidR="007E0466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5A">
        <w:rPr>
          <w:rFonts w:ascii="Times New Roman" w:hAnsi="Times New Roman" w:cs="Times New Roman"/>
          <w:sz w:val="28"/>
          <w:szCs w:val="28"/>
        </w:rPr>
        <w:t>Для ведения активного образа жизни, уменьшения количества машин, проводится активная работа по строительству велосипедных дорожек</w:t>
      </w:r>
      <w:r w:rsidR="007E0466">
        <w:rPr>
          <w:rFonts w:ascii="Times New Roman" w:hAnsi="Times New Roman" w:cs="Times New Roman"/>
          <w:sz w:val="28"/>
          <w:szCs w:val="28"/>
        </w:rPr>
        <w:t>:</w:t>
      </w:r>
    </w:p>
    <w:p w:rsidR="007E0466" w:rsidRPr="005526EE" w:rsidRDefault="00745AC4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A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</w:t>
      </w:r>
      <w:r w:rsidRPr="00745A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полугодии </w:t>
      </w:r>
      <w:r w:rsidR="007E0466" w:rsidRPr="00745AC4">
        <w:rPr>
          <w:rFonts w:ascii="Times New Roman" w:hAnsi="Times New Roman" w:cs="Times New Roman"/>
          <w:b/>
          <w:sz w:val="28"/>
          <w:szCs w:val="28"/>
        </w:rPr>
        <w:t>2018 году</w:t>
      </w:r>
      <w:r w:rsidR="007E0466" w:rsidRPr="00552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начаты и </w:t>
      </w:r>
      <w:r w:rsidR="007E0466" w:rsidRPr="005526EE">
        <w:rPr>
          <w:rFonts w:ascii="Times New Roman" w:hAnsi="Times New Roman" w:cs="Times New Roman"/>
          <w:sz w:val="28"/>
          <w:szCs w:val="28"/>
        </w:rPr>
        <w:t xml:space="preserve">завершены работы по </w:t>
      </w:r>
      <w:r w:rsidR="005526EE" w:rsidRPr="005526EE">
        <w:rPr>
          <w:rFonts w:ascii="Times New Roman" w:hAnsi="Times New Roman" w:cs="Times New Roman"/>
          <w:sz w:val="28"/>
          <w:szCs w:val="28"/>
        </w:rPr>
        <w:t xml:space="preserve">проспекту </w:t>
      </w:r>
      <w:proofErr w:type="spellStart"/>
      <w:r w:rsidR="005526EE" w:rsidRPr="005526EE">
        <w:rPr>
          <w:rFonts w:ascii="Times New Roman" w:hAnsi="Times New Roman" w:cs="Times New Roman"/>
          <w:sz w:val="28"/>
          <w:szCs w:val="28"/>
        </w:rPr>
        <w:t>Масалиева</w:t>
      </w:r>
      <w:proofErr w:type="spellEnd"/>
      <w:r w:rsidR="005526EE" w:rsidRPr="005526EE"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 w:rsidR="005526EE" w:rsidRPr="005526EE">
        <w:rPr>
          <w:rFonts w:ascii="Times New Roman" w:hAnsi="Times New Roman" w:cs="Times New Roman"/>
          <w:sz w:val="28"/>
          <w:szCs w:val="28"/>
        </w:rPr>
        <w:t>Байтик</w:t>
      </w:r>
      <w:proofErr w:type="spellEnd"/>
      <w:r w:rsidR="005526EE" w:rsidRPr="005526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6EE" w:rsidRPr="005526EE">
        <w:rPr>
          <w:rFonts w:ascii="Times New Roman" w:hAnsi="Times New Roman" w:cs="Times New Roman"/>
          <w:sz w:val="28"/>
          <w:szCs w:val="28"/>
        </w:rPr>
        <w:t>Баатыра</w:t>
      </w:r>
      <w:proofErr w:type="spellEnd"/>
      <w:r w:rsidR="005526EE" w:rsidRPr="005526EE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5526EE" w:rsidRPr="005526EE">
        <w:rPr>
          <w:rFonts w:ascii="Times New Roman" w:hAnsi="Times New Roman" w:cs="Times New Roman"/>
          <w:sz w:val="28"/>
          <w:szCs w:val="28"/>
        </w:rPr>
        <w:t>Садырбаева</w:t>
      </w:r>
      <w:proofErr w:type="spellEnd"/>
      <w:r w:rsidR="005526EE" w:rsidRPr="005526EE">
        <w:rPr>
          <w:rFonts w:ascii="Times New Roman" w:hAnsi="Times New Roman" w:cs="Times New Roman"/>
          <w:sz w:val="28"/>
          <w:szCs w:val="28"/>
        </w:rPr>
        <w:t xml:space="preserve"> (Баха) протяженностью 7,2 км (южная и северная стороны)</w:t>
      </w:r>
      <w:r w:rsidR="005526EE">
        <w:rPr>
          <w:rFonts w:ascii="Times New Roman" w:hAnsi="Times New Roman" w:cs="Times New Roman"/>
          <w:sz w:val="28"/>
          <w:szCs w:val="28"/>
        </w:rPr>
        <w:t>.</w:t>
      </w:r>
    </w:p>
    <w:p w:rsidR="007E0466" w:rsidRPr="00DA2388" w:rsidRDefault="005526EE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F58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366F58">
        <w:rPr>
          <w:rFonts w:ascii="Times New Roman" w:hAnsi="Times New Roman" w:cs="Times New Roman"/>
          <w:sz w:val="28"/>
          <w:szCs w:val="28"/>
        </w:rPr>
        <w:t xml:space="preserve"> завершены работы </w:t>
      </w:r>
      <w:r w:rsidR="00366F58" w:rsidRPr="00DA2388">
        <w:rPr>
          <w:rFonts w:ascii="Times New Roman" w:hAnsi="Times New Roman" w:cs="Times New Roman"/>
          <w:sz w:val="28"/>
          <w:szCs w:val="28"/>
        </w:rPr>
        <w:t xml:space="preserve">проспекту Ч. Айтматова от ул. Масалиева до ул. </w:t>
      </w:r>
      <w:proofErr w:type="spellStart"/>
      <w:r w:rsidR="00366F58" w:rsidRPr="00DA2388">
        <w:rPr>
          <w:rFonts w:ascii="Times New Roman" w:hAnsi="Times New Roman" w:cs="Times New Roman"/>
          <w:sz w:val="28"/>
          <w:szCs w:val="28"/>
        </w:rPr>
        <w:t>Семетей</w:t>
      </w:r>
      <w:proofErr w:type="spellEnd"/>
      <w:r w:rsidR="00366F58" w:rsidRPr="00DA2388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DA2388" w:rsidRPr="00DA2388">
        <w:rPr>
          <w:rFonts w:ascii="Times New Roman" w:hAnsi="Times New Roman" w:cs="Times New Roman"/>
          <w:sz w:val="28"/>
          <w:szCs w:val="28"/>
        </w:rPr>
        <w:t xml:space="preserve"> 2,9 км.</w:t>
      </w:r>
    </w:p>
    <w:p w:rsidR="0077555A" w:rsidRPr="0077555A" w:rsidRDefault="00DA2388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388">
        <w:rPr>
          <w:rFonts w:ascii="Times New Roman" w:hAnsi="Times New Roman" w:cs="Times New Roman"/>
          <w:b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работы в данном направлении продолжены (Общее: 22,2 км.). На сегодняшний день завершены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555A" w:rsidRPr="0077555A" w:rsidRDefault="00DA2388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проспекту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уй от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Манаса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(южная сторона) – 1,8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>улице 7-апреля от проспект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уй до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Кийизбаева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0,8 </w:t>
      </w:r>
      <w:r w:rsidR="0077555A" w:rsidRPr="0077555A">
        <w:rPr>
          <w:rFonts w:ascii="Times New Roman" w:hAnsi="Times New Roman" w:cs="Times New Roman"/>
          <w:sz w:val="28"/>
          <w:szCs w:val="28"/>
        </w:rPr>
        <w:t>км;</w:t>
      </w:r>
    </w:p>
    <w:p w:rsidR="0077555A" w:rsidRPr="0077555A" w:rsidRDefault="00DA2388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улице Кокчетавская от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М.Ганди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улицы Кок-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– 0,7 км;</w:t>
      </w:r>
    </w:p>
    <w:p w:rsidR="0077555A" w:rsidRPr="0077555A" w:rsidRDefault="00DA2388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Тулебердиева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>Кокчетавская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Малого-Чуйского канала (МЧК) – 0,6 км.</w:t>
      </w:r>
    </w:p>
    <w:p w:rsidR="0077555A" w:rsidRPr="0077555A" w:rsidRDefault="00DA2388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стадии завершения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проспекту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Ч.Айтматова-Манаса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>проспекту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Чуй (восточная сторона) – 3,7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Абдрахманова-Байтик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Баатыра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проспекта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уй до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(западная сторона) – 3,7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проспекту Дэн Сяопина 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55A" w:rsidRPr="0077555A">
        <w:rPr>
          <w:rFonts w:ascii="Times New Roman" w:hAnsi="Times New Roman" w:cs="Times New Roman"/>
          <w:sz w:val="28"/>
          <w:szCs w:val="28"/>
        </w:rPr>
        <w:t>улице</w:t>
      </w:r>
      <w:proofErr w:type="gram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Ю.Фучика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Б.Алыкулова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– 4,9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улице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Рысмендеева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А.Масалиева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Семетей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– 3,8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 улице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Тыналиева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Масалиева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– 1,5 км;</w:t>
      </w:r>
    </w:p>
    <w:p w:rsidR="0077555A" w:rsidRPr="0077555A" w:rsidRDefault="00DA2388" w:rsidP="00DA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55A" w:rsidRPr="0077555A">
        <w:rPr>
          <w:rFonts w:ascii="Times New Roman" w:hAnsi="Times New Roman" w:cs="Times New Roman"/>
          <w:sz w:val="28"/>
          <w:szCs w:val="28"/>
        </w:rPr>
        <w:t xml:space="preserve"> улице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7555A" w:rsidRPr="0077555A">
        <w:rPr>
          <w:rFonts w:ascii="Times New Roman" w:hAnsi="Times New Roman" w:cs="Times New Roman"/>
          <w:sz w:val="28"/>
          <w:szCs w:val="28"/>
        </w:rPr>
        <w:t>Тыналиева</w:t>
      </w:r>
      <w:proofErr w:type="spellEnd"/>
      <w:r w:rsidR="0077555A" w:rsidRPr="0077555A">
        <w:rPr>
          <w:rFonts w:ascii="Times New Roman" w:hAnsi="Times New Roman" w:cs="Times New Roman"/>
          <w:sz w:val="28"/>
          <w:szCs w:val="28"/>
        </w:rPr>
        <w:t xml:space="preserve"> до Бакаева – 0,7 км.</w:t>
      </w:r>
    </w:p>
    <w:p w:rsidR="0077555A" w:rsidRPr="0077555A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55A" w:rsidRPr="0077555A" w:rsidRDefault="00745AC4" w:rsidP="007755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дорожной </w:t>
      </w:r>
      <w:r w:rsidR="0077555A" w:rsidRPr="0077555A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77555A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5A">
        <w:rPr>
          <w:rFonts w:ascii="Times New Roman" w:hAnsi="Times New Roman" w:cs="Times New Roman"/>
          <w:sz w:val="28"/>
          <w:szCs w:val="28"/>
        </w:rPr>
        <w:t>Проводится активная работа по сод</w:t>
      </w:r>
      <w:r w:rsidR="00DA2388">
        <w:rPr>
          <w:rFonts w:ascii="Times New Roman" w:hAnsi="Times New Roman" w:cs="Times New Roman"/>
          <w:sz w:val="28"/>
          <w:szCs w:val="28"/>
        </w:rPr>
        <w:t>ержанию дорожной инфраструктуры</w:t>
      </w:r>
      <w:r w:rsidRPr="0077555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42"/>
        <w:gridCol w:w="1252"/>
        <w:gridCol w:w="1296"/>
        <w:gridCol w:w="1221"/>
        <w:gridCol w:w="1296"/>
        <w:gridCol w:w="1667"/>
      </w:tblGrid>
      <w:tr w:rsidR="00E1711E" w:rsidRPr="00E1711E" w:rsidTr="003F3A1C">
        <w:tc>
          <w:tcPr>
            <w:tcW w:w="531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1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321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25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2018 года</w:t>
            </w:r>
          </w:p>
        </w:tc>
        <w:tc>
          <w:tcPr>
            <w:tcW w:w="1318" w:type="dxa"/>
          </w:tcPr>
          <w:p w:rsidR="003F3A1C" w:rsidRPr="00745AC4" w:rsidRDefault="003F3A1C" w:rsidP="003F3A1C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25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2020 года</w:t>
            </w:r>
          </w:p>
        </w:tc>
        <w:tc>
          <w:tcPr>
            <w:tcW w:w="1356" w:type="dxa"/>
          </w:tcPr>
          <w:p w:rsidR="003F3A1C" w:rsidRPr="00745AC4" w:rsidRDefault="003F3A1C" w:rsidP="003F3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1711E" w:rsidRPr="00E1711E" w:rsidTr="003F3A1C">
        <w:tc>
          <w:tcPr>
            <w:tcW w:w="531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5" w:type="dxa"/>
          </w:tcPr>
          <w:p w:rsidR="003F3A1C" w:rsidRPr="00E1711E" w:rsidRDefault="004C44B3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19 912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37 300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sz w:val="24"/>
                <w:szCs w:val="24"/>
              </w:rPr>
              <w:t>24 900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F3A1C">
        <w:tc>
          <w:tcPr>
            <w:tcW w:w="531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заливка трещин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25" w:type="dxa"/>
          </w:tcPr>
          <w:p w:rsidR="003F3A1C" w:rsidRPr="00E1711E" w:rsidRDefault="004C44B3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60 923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188 600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22DC1">
        <w:tc>
          <w:tcPr>
            <w:tcW w:w="531" w:type="dxa"/>
            <w:vMerge w:val="restart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6" w:type="dxa"/>
            <w:gridSpan w:val="6"/>
          </w:tcPr>
          <w:p w:rsidR="003F3A1C" w:rsidRPr="00E1711E" w:rsidRDefault="003F3A1C" w:rsidP="003F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разметки:</w:t>
            </w:r>
          </w:p>
        </w:tc>
      </w:tr>
      <w:tr w:rsidR="00E1711E" w:rsidRPr="00E1711E" w:rsidTr="003F3A1C">
        <w:tc>
          <w:tcPr>
            <w:tcW w:w="531" w:type="dxa"/>
            <w:vMerge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холодным пластиком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5" w:type="dxa"/>
          </w:tcPr>
          <w:p w:rsidR="003F3A1C" w:rsidRPr="00E1711E" w:rsidRDefault="000208FD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8 952</w:t>
            </w:r>
          </w:p>
        </w:tc>
        <w:tc>
          <w:tcPr>
            <w:tcW w:w="1318" w:type="dxa"/>
          </w:tcPr>
          <w:p w:rsidR="003F3A1C" w:rsidRPr="00E1711E" w:rsidRDefault="00E1711E" w:rsidP="00E1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1325" w:type="dxa"/>
          </w:tcPr>
          <w:p w:rsidR="003F3A1C" w:rsidRPr="00E1711E" w:rsidRDefault="003F3A1C" w:rsidP="00EE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3F1C" w:rsidRPr="00E1711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F3A1C">
        <w:tc>
          <w:tcPr>
            <w:tcW w:w="531" w:type="dxa"/>
            <w:vMerge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F3A1C" w:rsidRPr="00E1711E" w:rsidRDefault="003F3A1C" w:rsidP="003F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горячим пластиком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325" w:type="dxa"/>
          </w:tcPr>
          <w:p w:rsidR="003F3A1C" w:rsidRPr="00E1711E" w:rsidRDefault="004C44B3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15 638</w:t>
            </w:r>
          </w:p>
        </w:tc>
        <w:tc>
          <w:tcPr>
            <w:tcW w:w="1318" w:type="dxa"/>
          </w:tcPr>
          <w:p w:rsidR="003F3A1C" w:rsidRPr="00E1711E" w:rsidRDefault="00E1711E" w:rsidP="00E17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16 600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10 600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F3A1C">
        <w:tc>
          <w:tcPr>
            <w:tcW w:w="531" w:type="dxa"/>
            <w:vMerge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F3A1C" w:rsidRPr="00E1711E" w:rsidRDefault="003F3A1C" w:rsidP="003F3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="00E1711E" w:rsidRPr="00E1711E">
              <w:rPr>
                <w:rFonts w:ascii="Times New Roman" w:hAnsi="Times New Roman" w:cs="Times New Roman"/>
                <w:sz w:val="24"/>
                <w:szCs w:val="24"/>
              </w:rPr>
              <w:t>краской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5" w:type="dxa"/>
          </w:tcPr>
          <w:p w:rsidR="003F3A1C" w:rsidRPr="00E1711E" w:rsidRDefault="000208FD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82 506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80 600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 xml:space="preserve">19 150 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F3A1C">
        <w:tc>
          <w:tcPr>
            <w:tcW w:w="531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3F3A1C" w:rsidRPr="00E1711E" w:rsidRDefault="000208FD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t>1049</w:t>
            </w:r>
          </w:p>
        </w:tc>
        <w:tc>
          <w:tcPr>
            <w:tcW w:w="1356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1E" w:rsidRPr="00E1711E" w:rsidTr="003F3A1C">
        <w:tc>
          <w:tcPr>
            <w:tcW w:w="531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установка адресных аншлагов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3F3A1C" w:rsidRPr="00E1711E" w:rsidRDefault="000208FD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t>3009</w:t>
            </w:r>
          </w:p>
        </w:tc>
        <w:tc>
          <w:tcPr>
            <w:tcW w:w="1356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работа начата в 2020 году</w:t>
            </w:r>
          </w:p>
        </w:tc>
      </w:tr>
      <w:tr w:rsidR="00E1711E" w:rsidRPr="00E1711E" w:rsidTr="003F3A1C">
        <w:tc>
          <w:tcPr>
            <w:tcW w:w="531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3F3A1C" w:rsidRPr="00E1711E" w:rsidRDefault="003F3A1C" w:rsidP="0077555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остановочных </w:t>
            </w: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комплексов</w:t>
            </w:r>
          </w:p>
        </w:tc>
        <w:tc>
          <w:tcPr>
            <w:tcW w:w="1321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25" w:type="dxa"/>
          </w:tcPr>
          <w:p w:rsidR="003F3A1C" w:rsidRPr="00E1711E" w:rsidRDefault="000208FD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</w:tcPr>
          <w:p w:rsidR="003F3A1C" w:rsidRPr="00E1711E" w:rsidRDefault="003F3A1C" w:rsidP="003F3A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356" w:type="dxa"/>
          </w:tcPr>
          <w:p w:rsidR="003F3A1C" w:rsidRPr="00E1711E" w:rsidRDefault="00E1711E" w:rsidP="003F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переносу остановочных комплексов</w:t>
            </w:r>
          </w:p>
        </w:tc>
      </w:tr>
    </w:tbl>
    <w:p w:rsidR="0077555A" w:rsidRPr="0077555A" w:rsidRDefault="0077555A" w:rsidP="00775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5A" w:rsidRDefault="0077555A" w:rsidP="00745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5A">
        <w:rPr>
          <w:rFonts w:ascii="Times New Roman" w:hAnsi="Times New Roman" w:cs="Times New Roman"/>
          <w:b/>
          <w:sz w:val="28"/>
          <w:szCs w:val="28"/>
        </w:rPr>
        <w:t>Строительство дорог</w:t>
      </w:r>
      <w:r w:rsidR="00745AC4">
        <w:rPr>
          <w:rFonts w:ascii="Times New Roman" w:hAnsi="Times New Roman" w:cs="Times New Roman"/>
          <w:b/>
          <w:sz w:val="28"/>
          <w:szCs w:val="28"/>
        </w:rPr>
        <w:t xml:space="preserve"> и тротуаров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"/>
        <w:gridCol w:w="2680"/>
        <w:gridCol w:w="883"/>
        <w:gridCol w:w="1276"/>
        <w:gridCol w:w="1134"/>
        <w:gridCol w:w="1418"/>
        <w:gridCol w:w="1382"/>
      </w:tblGrid>
      <w:tr w:rsidR="00745AC4" w:rsidRPr="00E1711E" w:rsidTr="009729A1">
        <w:tc>
          <w:tcPr>
            <w:tcW w:w="514" w:type="dxa"/>
          </w:tcPr>
          <w:p w:rsidR="00745AC4" w:rsidRPr="00745AC4" w:rsidRDefault="00745AC4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80" w:type="dxa"/>
          </w:tcPr>
          <w:p w:rsidR="00745AC4" w:rsidRPr="00745AC4" w:rsidRDefault="00745AC4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83" w:type="dxa"/>
          </w:tcPr>
          <w:p w:rsidR="00745AC4" w:rsidRPr="00745AC4" w:rsidRDefault="00745AC4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45AC4" w:rsidRPr="00745AC4" w:rsidRDefault="00745AC4" w:rsidP="00745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745AC4" w:rsidRPr="00745AC4" w:rsidRDefault="00745AC4" w:rsidP="00455ACA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745AC4" w:rsidRPr="00745AC4" w:rsidRDefault="00745AC4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2020 года</w:t>
            </w:r>
          </w:p>
        </w:tc>
        <w:tc>
          <w:tcPr>
            <w:tcW w:w="1382" w:type="dxa"/>
          </w:tcPr>
          <w:p w:rsidR="00745AC4" w:rsidRPr="00745AC4" w:rsidRDefault="00745AC4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45AC4" w:rsidRPr="00E1711E" w:rsidTr="009729A1">
        <w:tc>
          <w:tcPr>
            <w:tcW w:w="514" w:type="dxa"/>
          </w:tcPr>
          <w:p w:rsidR="00745AC4" w:rsidRPr="00E1711E" w:rsidRDefault="00745AC4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745AC4" w:rsidRPr="00E1711E" w:rsidRDefault="00745AC4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дорожного полотна улиц города Бишкек</w:t>
            </w:r>
          </w:p>
        </w:tc>
        <w:tc>
          <w:tcPr>
            <w:tcW w:w="883" w:type="dxa"/>
          </w:tcPr>
          <w:p w:rsidR="00745AC4" w:rsidRPr="00E1711E" w:rsidRDefault="00745AC4" w:rsidP="0074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5AC4" w:rsidRDefault="00745AC4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  <w:p w:rsidR="009729A1" w:rsidRPr="009729A1" w:rsidRDefault="009729A1" w:rsidP="0045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A1">
              <w:rPr>
                <w:rFonts w:ascii="Times New Roman" w:hAnsi="Times New Roman" w:cs="Times New Roman"/>
                <w:sz w:val="20"/>
                <w:szCs w:val="20"/>
              </w:rPr>
              <w:t>(21 улица)</w:t>
            </w:r>
          </w:p>
        </w:tc>
        <w:tc>
          <w:tcPr>
            <w:tcW w:w="1134" w:type="dxa"/>
          </w:tcPr>
          <w:p w:rsidR="00745AC4" w:rsidRDefault="009729A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9729A1" w:rsidRPr="009729A1" w:rsidRDefault="009729A1" w:rsidP="0045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A1">
              <w:rPr>
                <w:rFonts w:ascii="Times New Roman" w:hAnsi="Times New Roman" w:cs="Times New Roman"/>
                <w:sz w:val="20"/>
                <w:szCs w:val="20"/>
              </w:rPr>
              <w:t>(30 улиц)</w:t>
            </w:r>
          </w:p>
        </w:tc>
        <w:tc>
          <w:tcPr>
            <w:tcW w:w="1418" w:type="dxa"/>
          </w:tcPr>
          <w:p w:rsidR="00745AC4" w:rsidRPr="00E1711E" w:rsidRDefault="009729A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82" w:type="dxa"/>
          </w:tcPr>
          <w:p w:rsidR="00745AC4" w:rsidRPr="00E1711E" w:rsidRDefault="00745AC4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AC4" w:rsidRPr="00E1711E" w:rsidTr="009729A1">
        <w:tc>
          <w:tcPr>
            <w:tcW w:w="514" w:type="dxa"/>
          </w:tcPr>
          <w:p w:rsidR="00745AC4" w:rsidRPr="00E1711E" w:rsidRDefault="00745AC4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</w:tcPr>
          <w:p w:rsidR="00745AC4" w:rsidRPr="00E1711E" w:rsidRDefault="00745AC4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дорожного полотна тротуаров города Бишкек</w:t>
            </w:r>
          </w:p>
        </w:tc>
        <w:tc>
          <w:tcPr>
            <w:tcW w:w="883" w:type="dxa"/>
          </w:tcPr>
          <w:p w:rsidR="00745AC4" w:rsidRPr="00E1711E" w:rsidRDefault="00745AC4" w:rsidP="00745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</w:tcPr>
          <w:p w:rsidR="00745AC4" w:rsidRPr="00E1711E" w:rsidRDefault="009729A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134" w:type="dxa"/>
          </w:tcPr>
          <w:p w:rsidR="00745AC4" w:rsidRPr="00E1711E" w:rsidRDefault="009729A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8" w:type="dxa"/>
          </w:tcPr>
          <w:p w:rsidR="00745AC4" w:rsidRPr="00E1711E" w:rsidRDefault="009729A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82" w:type="dxa"/>
          </w:tcPr>
          <w:p w:rsidR="00745AC4" w:rsidRPr="00E1711E" w:rsidRDefault="00745AC4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304" w:rsidRPr="00E2303F" w:rsidRDefault="00055304" w:rsidP="00055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1"/>
          <w:sz w:val="28"/>
          <w:szCs w:val="28"/>
          <w:lang w:eastAsia="ru-RU"/>
        </w:rPr>
      </w:pPr>
    </w:p>
    <w:p w:rsidR="00055304" w:rsidRPr="00E2303F" w:rsidRDefault="00055304" w:rsidP="00055304">
      <w:pPr>
        <w:spacing w:after="0" w:line="240" w:lineRule="auto"/>
        <w:ind w:firstLine="708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2303F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Наружное освещение</w:t>
      </w:r>
    </w:p>
    <w:p w:rsidR="00055304" w:rsidRDefault="000C76D5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Проводится активная работа по замене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реконтрукции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сетей наружного освещения города Бишкек.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1943"/>
        <w:gridCol w:w="1133"/>
        <w:gridCol w:w="1246"/>
        <w:gridCol w:w="1672"/>
        <w:gridCol w:w="1246"/>
        <w:gridCol w:w="1566"/>
      </w:tblGrid>
      <w:tr w:rsidR="00E95833" w:rsidRPr="00E1711E" w:rsidTr="000C76D5">
        <w:tc>
          <w:tcPr>
            <w:tcW w:w="513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2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52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2018 года</w:t>
            </w:r>
          </w:p>
        </w:tc>
        <w:tc>
          <w:tcPr>
            <w:tcW w:w="1221" w:type="dxa"/>
          </w:tcPr>
          <w:p w:rsidR="000C76D5" w:rsidRPr="00745AC4" w:rsidRDefault="000C76D5" w:rsidP="00455ACA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6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2020 года</w:t>
            </w:r>
          </w:p>
        </w:tc>
        <w:tc>
          <w:tcPr>
            <w:tcW w:w="1667" w:type="dxa"/>
          </w:tcPr>
          <w:p w:rsidR="000C76D5" w:rsidRPr="00745AC4" w:rsidRDefault="000C76D5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95833" w:rsidRPr="00E1711E" w:rsidTr="000C76D5">
        <w:tc>
          <w:tcPr>
            <w:tcW w:w="513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0C76D5" w:rsidRPr="00E95833" w:rsidRDefault="000C76D5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Замена ламп</w:t>
            </w:r>
          </w:p>
        </w:tc>
        <w:tc>
          <w:tcPr>
            <w:tcW w:w="1252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833" w:rsidRPr="00E95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21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96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667" w:type="dxa"/>
          </w:tcPr>
          <w:p w:rsidR="000C76D5" w:rsidRPr="00E1711E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33" w:rsidRPr="00E1711E" w:rsidTr="000C76D5">
        <w:tc>
          <w:tcPr>
            <w:tcW w:w="513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0C76D5" w:rsidRPr="00E95833" w:rsidRDefault="000C76D5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Замена СИП кабеля</w:t>
            </w:r>
          </w:p>
        </w:tc>
        <w:tc>
          <w:tcPr>
            <w:tcW w:w="1252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96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21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6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667" w:type="dxa"/>
          </w:tcPr>
          <w:p w:rsidR="000C76D5" w:rsidRPr="00E1711E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33" w:rsidRPr="00E1711E" w:rsidTr="000C76D5">
        <w:tc>
          <w:tcPr>
            <w:tcW w:w="513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0C76D5" w:rsidRPr="00E95833" w:rsidRDefault="000C76D5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светоточек</w:t>
            </w:r>
            <w:proofErr w:type="spellEnd"/>
          </w:p>
        </w:tc>
        <w:tc>
          <w:tcPr>
            <w:tcW w:w="1252" w:type="dxa"/>
          </w:tcPr>
          <w:p w:rsidR="000C76D5" w:rsidRPr="00E95833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21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  <w:p w:rsidR="00E95833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 xml:space="preserve">(1660 шт. освещение под путепроводом по </w:t>
            </w:r>
            <w:proofErr w:type="spell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proofErr w:type="spellEnd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0C76D5" w:rsidRPr="00E95833" w:rsidRDefault="00E95833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7132</w:t>
            </w:r>
          </w:p>
        </w:tc>
        <w:tc>
          <w:tcPr>
            <w:tcW w:w="1667" w:type="dxa"/>
          </w:tcPr>
          <w:p w:rsidR="000C76D5" w:rsidRPr="00E1711E" w:rsidRDefault="000C76D5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35" w:rsidRPr="00E2303F" w:rsidRDefault="00C93A35" w:rsidP="00055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055304" w:rsidRDefault="00055304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E230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Водоснабжение</w:t>
      </w:r>
    </w:p>
    <w:p w:rsidR="00FC076E" w:rsidRDefault="00FC076E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042"/>
        <w:gridCol w:w="1252"/>
        <w:gridCol w:w="1296"/>
        <w:gridCol w:w="1221"/>
        <w:gridCol w:w="1296"/>
        <w:gridCol w:w="1667"/>
      </w:tblGrid>
      <w:tr w:rsidR="00FC076E" w:rsidRPr="00E1711E" w:rsidTr="00455ACA">
        <w:tc>
          <w:tcPr>
            <w:tcW w:w="513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42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1252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2018 года</w:t>
            </w:r>
          </w:p>
        </w:tc>
        <w:tc>
          <w:tcPr>
            <w:tcW w:w="1221" w:type="dxa"/>
          </w:tcPr>
          <w:p w:rsidR="00FC076E" w:rsidRPr="00745AC4" w:rsidRDefault="00FC076E" w:rsidP="00455ACA">
            <w:pPr>
              <w:tabs>
                <w:tab w:val="left" w:pos="0"/>
              </w:tabs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6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745A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полугодие 2020 года</w:t>
            </w:r>
          </w:p>
        </w:tc>
        <w:tc>
          <w:tcPr>
            <w:tcW w:w="1667" w:type="dxa"/>
          </w:tcPr>
          <w:p w:rsidR="00FC076E" w:rsidRPr="00745AC4" w:rsidRDefault="00FC076E" w:rsidP="00455A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AC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FC076E" w:rsidRPr="00E1711E" w:rsidTr="00455ACA">
        <w:tc>
          <w:tcPr>
            <w:tcW w:w="513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C076E" w:rsidRPr="00E95833" w:rsidRDefault="00FC076E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водопроводных сетей</w:t>
            </w:r>
          </w:p>
        </w:tc>
        <w:tc>
          <w:tcPr>
            <w:tcW w:w="1252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96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221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96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67" w:type="dxa"/>
          </w:tcPr>
          <w:p w:rsidR="00FC076E" w:rsidRPr="00E1711E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6E" w:rsidRPr="00E1711E" w:rsidTr="00455ACA">
        <w:tc>
          <w:tcPr>
            <w:tcW w:w="513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FC076E" w:rsidRPr="00E95833" w:rsidRDefault="00FC076E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</w:t>
            </w:r>
          </w:p>
        </w:tc>
        <w:tc>
          <w:tcPr>
            <w:tcW w:w="1252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96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221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96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667" w:type="dxa"/>
          </w:tcPr>
          <w:p w:rsidR="00FC076E" w:rsidRPr="00E1711E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6E" w:rsidRPr="00E1711E" w:rsidTr="00455ACA">
        <w:tc>
          <w:tcPr>
            <w:tcW w:w="513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FC076E" w:rsidRPr="00E95833" w:rsidRDefault="00FC076E" w:rsidP="00455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252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583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</w:tcPr>
          <w:p w:rsidR="00FC076E" w:rsidRPr="00E95833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FC076E" w:rsidRPr="00E95833" w:rsidRDefault="00423CE1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</w:tcPr>
          <w:p w:rsidR="00FC076E" w:rsidRPr="00E1711E" w:rsidRDefault="00FC076E" w:rsidP="00455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76E" w:rsidRPr="00E2303F" w:rsidRDefault="00FC076E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реализация воды всего - 82 627 тыс.м.3, прием стоков 68050 тыс.м3. доходы всего 717 280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расходы 807 074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тыс.сом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этим убытки составили 89 794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тыс.сом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выведения из убыточного состояния в 2019 году были проведены ряд мероприятий, которое позволило улучшить финансовое состояние: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-приведены в соответствие нормы водопотребления для потребителей  частного сектора со 100 л/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165 л/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 договор на оплату за питьевую воду с селом Лебединовка по водомерам.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-упрощена процедура оформления полива зеленых насаждений в ночное время.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15.11.2019 года были утверждены тарифы на услуги по водоснабжению и водоотведению и на техническое обслуживание внутридомовых водопроводно-канализационных сетей общего пользования многоквартирных жилых домов в городе Бишкек, согласно Постановлению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Бишкекского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кенеша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118 и 119 от 24.10.2019 г. и т.д.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указанных мероприятий позволило ПЭУ «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Бишкекводоканал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выйти в прибыль.</w:t>
      </w:r>
    </w:p>
    <w:p w:rsidR="008E7E05" w:rsidRPr="008E7E05" w:rsidRDefault="008E7E05" w:rsidP="008E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финансового состояния позволило самостоятельно погасить платежи по долговым обязательствам перед банком РСК в размере 45,0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омов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кредиту ЕБРР в размере 22,0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млн.сомов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произвести уплату налоговых обязательств, в том числе отчисления в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соц.фонд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полностью погасить задолженность перед поставщиками.</w:t>
      </w:r>
    </w:p>
    <w:p w:rsidR="008E7E05" w:rsidRPr="008E7E05" w:rsidRDefault="008E7E05" w:rsidP="008E7E0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доходы за 6 месяцев 2020года составляют 549 899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 ожидаемые расходы 532 749 </w:t>
      </w:r>
      <w:proofErr w:type="spellStart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тыс.сом</w:t>
      </w:r>
      <w:proofErr w:type="spellEnd"/>
      <w:r w:rsidRPr="008E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E05" w:rsidRDefault="008E7E05" w:rsidP="008E7E05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05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источником водоснабжения и системой водоотведения Южного планировочного района на 100 </w:t>
      </w:r>
      <w:proofErr w:type="spellStart"/>
      <w:r w:rsidRPr="008E7E0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8E7E05">
        <w:rPr>
          <w:rFonts w:ascii="Times New Roman" w:hAnsi="Times New Roman" w:cs="Times New Roman"/>
          <w:color w:val="000000"/>
          <w:sz w:val="28"/>
          <w:szCs w:val="28"/>
        </w:rPr>
        <w:t>.ж</w:t>
      </w:r>
      <w:proofErr w:type="gramEnd"/>
      <w:r w:rsidRPr="008E7E05">
        <w:rPr>
          <w:rFonts w:ascii="Times New Roman" w:hAnsi="Times New Roman" w:cs="Times New Roman"/>
          <w:color w:val="000000"/>
          <w:sz w:val="28"/>
          <w:szCs w:val="28"/>
        </w:rPr>
        <w:t>ителей</w:t>
      </w:r>
      <w:proofErr w:type="spellEnd"/>
      <w:r w:rsidRPr="008E7E05">
        <w:rPr>
          <w:rFonts w:ascii="Times New Roman" w:hAnsi="Times New Roman" w:cs="Times New Roman"/>
          <w:color w:val="000000"/>
          <w:sz w:val="28"/>
          <w:szCs w:val="28"/>
        </w:rPr>
        <w:t xml:space="preserve">, реализуется инвестиционный проект «Реабилитация водоснабжения и канализации в городе Бишкек (Фаза II)». </w:t>
      </w:r>
      <w:r w:rsidRPr="008E7E05">
        <w:rPr>
          <w:rFonts w:ascii="Times New Roman" w:hAnsi="Times New Roman" w:cs="Times New Roman"/>
          <w:sz w:val="28"/>
          <w:szCs w:val="28"/>
        </w:rPr>
        <w:t xml:space="preserve">В рамках реализации проекта  освоено кредитных средств – 1,5 млн. евро, </w:t>
      </w:r>
      <w:proofErr w:type="spellStart"/>
      <w:r w:rsidRPr="008E7E05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8E7E05">
        <w:rPr>
          <w:rFonts w:ascii="Times New Roman" w:hAnsi="Times New Roman" w:cs="Times New Roman"/>
          <w:sz w:val="28"/>
          <w:szCs w:val="28"/>
        </w:rPr>
        <w:t xml:space="preserve"> средств  - 2,3 млн. евро. Пробурено 35 скважин, проложен водовод протяженностью 3 км, осуществлена поставка лабораторного оборудования. </w:t>
      </w:r>
      <w:r w:rsidRPr="008E7E05">
        <w:rPr>
          <w:rFonts w:ascii="Times New Roman" w:eastAsia="Calibri" w:hAnsi="Times New Roman" w:cs="Times New Roman"/>
          <w:bCs/>
          <w:sz w:val="28"/>
          <w:szCs w:val="28"/>
        </w:rPr>
        <w:t xml:space="preserve">Выполняются проектные работы на строительство канализационного коллектора от ул. </w:t>
      </w:r>
      <w:proofErr w:type="spellStart"/>
      <w:r w:rsidRPr="008E7E05">
        <w:rPr>
          <w:rFonts w:ascii="Times New Roman" w:eastAsia="Calibri" w:hAnsi="Times New Roman" w:cs="Times New Roman"/>
          <w:bCs/>
          <w:sz w:val="28"/>
          <w:szCs w:val="28"/>
        </w:rPr>
        <w:t>Тыналиева</w:t>
      </w:r>
      <w:proofErr w:type="spellEnd"/>
      <w:r w:rsidRPr="008E7E05">
        <w:rPr>
          <w:rFonts w:ascii="Times New Roman" w:eastAsia="Calibri" w:hAnsi="Times New Roman" w:cs="Times New Roman"/>
          <w:bCs/>
          <w:sz w:val="28"/>
          <w:szCs w:val="28"/>
        </w:rPr>
        <w:t xml:space="preserve"> до очистных сооружений канализации протяженностью 11,0 км.</w:t>
      </w:r>
      <w:r w:rsidRPr="008E7E05">
        <w:rPr>
          <w:rFonts w:ascii="Times New Roman" w:hAnsi="Times New Roman" w:cs="Times New Roman"/>
          <w:sz w:val="28"/>
          <w:szCs w:val="28"/>
        </w:rPr>
        <w:t xml:space="preserve"> Планируемая дата завершения работ по разработке проектно-сметной документации -  </w:t>
      </w:r>
      <w:r w:rsidRPr="008E7E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E7E05">
        <w:rPr>
          <w:rFonts w:ascii="Times New Roman" w:hAnsi="Times New Roman" w:cs="Times New Roman"/>
          <w:sz w:val="28"/>
          <w:szCs w:val="28"/>
        </w:rPr>
        <w:t xml:space="preserve">  квартал 2020 года. Работы по данному проекту со стороны ПЭУ «</w:t>
      </w:r>
      <w:proofErr w:type="spellStart"/>
      <w:r w:rsidRPr="008E7E05">
        <w:rPr>
          <w:rFonts w:ascii="Times New Roman" w:hAnsi="Times New Roman" w:cs="Times New Roman"/>
          <w:sz w:val="28"/>
          <w:szCs w:val="28"/>
        </w:rPr>
        <w:t>Бишкекводоканал</w:t>
      </w:r>
      <w:proofErr w:type="spellEnd"/>
      <w:r w:rsidRPr="008E7E05">
        <w:rPr>
          <w:rFonts w:ascii="Times New Roman" w:hAnsi="Times New Roman" w:cs="Times New Roman"/>
          <w:sz w:val="28"/>
          <w:szCs w:val="28"/>
        </w:rPr>
        <w:t>» продолжаются.</w:t>
      </w:r>
    </w:p>
    <w:p w:rsidR="008E7E05" w:rsidRPr="008E7E05" w:rsidRDefault="008E7E05" w:rsidP="008E7E05">
      <w:pPr>
        <w:spacing w:after="0" w:line="240" w:lineRule="auto"/>
        <w:ind w:right="-6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E7E05">
        <w:rPr>
          <w:rFonts w:ascii="Times New Roman" w:hAnsi="Times New Roman" w:cs="Times New Roman"/>
          <w:sz w:val="28"/>
          <w:szCs w:val="28"/>
        </w:rPr>
        <w:t xml:space="preserve">Реализация вышеуказанных мероприятий позволит увеличить подачу питьевой воды потребителям столицы, обеспечить проведение анализов качества питьевой воды и сточных вод в соответствии с требованиями нормативных документов, подключить к централизованной системе водоотведения не канализованные </w:t>
      </w:r>
      <w:proofErr w:type="spellStart"/>
      <w:r w:rsidRPr="008E7E05">
        <w:rPr>
          <w:rFonts w:ascii="Times New Roman" w:hAnsi="Times New Roman" w:cs="Times New Roman"/>
          <w:sz w:val="28"/>
          <w:szCs w:val="28"/>
        </w:rPr>
        <w:t>жилмассивы</w:t>
      </w:r>
      <w:proofErr w:type="spellEnd"/>
      <w:r w:rsidRPr="008E7E05">
        <w:rPr>
          <w:rFonts w:ascii="Times New Roman" w:hAnsi="Times New Roman" w:cs="Times New Roman"/>
          <w:sz w:val="28"/>
          <w:szCs w:val="28"/>
        </w:rPr>
        <w:t xml:space="preserve"> и частный сектор южного и западного районов города Бишкек. Кроме того, реализация </w:t>
      </w:r>
      <w:proofErr w:type="gramStart"/>
      <w:r w:rsidRPr="008E7E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7E05">
        <w:rPr>
          <w:rFonts w:ascii="Times New Roman" w:hAnsi="Times New Roman" w:cs="Times New Roman"/>
          <w:sz w:val="28"/>
          <w:szCs w:val="28"/>
        </w:rPr>
        <w:t xml:space="preserve"> фазы проекта позволит решить проблемы инженерной инфраструктуры южной </w:t>
      </w:r>
      <w:r w:rsidRPr="008E7E05">
        <w:rPr>
          <w:rFonts w:ascii="Times New Roman" w:hAnsi="Times New Roman" w:cs="Times New Roman"/>
          <w:sz w:val="28"/>
          <w:szCs w:val="28"/>
        </w:rPr>
        <w:lastRenderedPageBreak/>
        <w:t>зоны города Бишкек, которая ранее не была предусмотрена генеральным планом развития столицы.</w:t>
      </w:r>
    </w:p>
    <w:p w:rsidR="00C93A35" w:rsidRPr="00E2303F" w:rsidRDefault="00C93A35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04" w:rsidRPr="00E2303F" w:rsidRDefault="00055304" w:rsidP="000553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0" w:name="_Toc410028896"/>
      <w:r w:rsidRPr="00E2303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Топливно-энергетический комплекс</w:t>
      </w:r>
    </w:p>
    <w:p w:rsidR="00055304" w:rsidRPr="00FC076E" w:rsidRDefault="00055304" w:rsidP="00FC0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FC076E" w:rsidRDefault="00FC076E" w:rsidP="00FC076E">
      <w:pPr>
        <w:pStyle w:val="a8"/>
        <w:ind w:right="-1" w:firstLine="709"/>
        <w:jc w:val="both"/>
        <w:rPr>
          <w:szCs w:val="28"/>
        </w:rPr>
      </w:pPr>
      <w:r w:rsidRPr="00FC076E">
        <w:rPr>
          <w:szCs w:val="28"/>
        </w:rPr>
        <w:t xml:space="preserve">Мэрией города Бишкек для принятия оперативных мер по подготовке города к осенне-зимнему периоду </w:t>
      </w:r>
      <w:r>
        <w:rPr>
          <w:szCs w:val="28"/>
        </w:rPr>
        <w:t>ежегодно создается городские и районные</w:t>
      </w:r>
      <w:r w:rsidRPr="00FC076E">
        <w:rPr>
          <w:szCs w:val="28"/>
        </w:rPr>
        <w:t xml:space="preserve"> штаб</w:t>
      </w:r>
      <w:r>
        <w:rPr>
          <w:szCs w:val="28"/>
        </w:rPr>
        <w:t>ы для отслеживания ситуации по подготовке и прохождению осенне-зимнего периода</w:t>
      </w:r>
      <w:r w:rsidRPr="00FC076E">
        <w:rPr>
          <w:szCs w:val="28"/>
        </w:rPr>
        <w:t xml:space="preserve">. </w:t>
      </w:r>
    </w:p>
    <w:p w:rsidR="00FC076E" w:rsidRPr="00FC076E" w:rsidRDefault="00FC076E" w:rsidP="00FC07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FC076E">
        <w:rPr>
          <w:rFonts w:ascii="Times New Roman" w:hAnsi="Times New Roman" w:cs="Times New Roman"/>
          <w:sz w:val="28"/>
          <w:szCs w:val="28"/>
          <w:lang w:eastAsia="x-none"/>
        </w:rPr>
        <w:t>Ежегодно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FC076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КП «</w:t>
      </w:r>
      <w:proofErr w:type="spellStart"/>
      <w:r w:rsidRPr="00FC076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Бишкектеплоэнерго</w:t>
      </w:r>
      <w:proofErr w:type="spellEnd"/>
      <w:r w:rsidRPr="00FC076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» </w:t>
      </w:r>
      <w:r w:rsidRPr="00FC076E">
        <w:rPr>
          <w:rFonts w:ascii="Times New Roman" w:hAnsi="Times New Roman" w:cs="Times New Roman"/>
          <w:sz w:val="28"/>
          <w:szCs w:val="28"/>
          <w:lang w:val="x-none" w:eastAsia="x-none"/>
        </w:rPr>
        <w:t>выполн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ятся работы </w:t>
      </w:r>
      <w:r w:rsidRPr="00FC076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eastAsia="x-none"/>
        </w:rPr>
        <w:t>у</w:t>
      </w:r>
      <w:r w:rsidRPr="00FC076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котельных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и работы по </w:t>
      </w:r>
      <w:r w:rsidR="00C423BA">
        <w:rPr>
          <w:rFonts w:ascii="Times New Roman" w:hAnsi="Times New Roman" w:cs="Times New Roman"/>
          <w:sz w:val="28"/>
          <w:szCs w:val="28"/>
          <w:lang w:eastAsia="x-none"/>
        </w:rPr>
        <w:t>замене</w:t>
      </w:r>
      <w:r w:rsidRPr="00FC076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изношенные тепловые сети</w:t>
      </w:r>
      <w:r w:rsidR="00C423B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протяженностью</w:t>
      </w:r>
      <w:r w:rsidRPr="00FC076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055304" w:rsidRPr="00B60748" w:rsidRDefault="007445DB" w:rsidP="007445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целях снижения потерь и повышения производительности работ теплофикационного оборудования на таких котельных как  «Ротор», «Гагарина», «НГЧ», «КТД», «</w:t>
      </w:r>
      <w:proofErr w:type="spellStart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Ботсад</w:t>
      </w:r>
      <w:proofErr w:type="spellEnd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произведен капитальный ремонт котельного оборудования, аккумуляторных баков, дымовых  труб.</w:t>
      </w:r>
      <w:r w:rsidRPr="00B60748">
        <w:rPr>
          <w:rFonts w:ascii="Times New Roman" w:hAnsi="Times New Roman" w:cs="Times New Roman"/>
          <w:sz w:val="28"/>
          <w:szCs w:val="28"/>
        </w:rPr>
        <w:t xml:space="preserve"> </w:t>
      </w:r>
      <w:r w:rsidR="00B60748" w:rsidRPr="00B60748">
        <w:rPr>
          <w:rFonts w:ascii="Times New Roman" w:hAnsi="Times New Roman" w:cs="Times New Roman"/>
          <w:sz w:val="28"/>
          <w:szCs w:val="28"/>
        </w:rPr>
        <w:t>В 2019 году з</w:t>
      </w:r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авершены работы по наладке оборудования на котельной «Ротор», где установлены солнечные коллекторы общей площадью 1000 м</w:t>
      </w:r>
      <w:proofErr w:type="gramStart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(400 панелей) мощностью около 600 кВт для увеличения температуры </w:t>
      </w:r>
      <w:proofErr w:type="spellStart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подпиточной</w:t>
      </w:r>
      <w:proofErr w:type="spellEnd"/>
      <w:r w:rsidRP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на котельной</w:t>
      </w:r>
      <w:r w:rsidR="00B60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304" w:rsidRPr="005647C3" w:rsidRDefault="00B60748" w:rsidP="00744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647C3"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собственными силами начата работа по переводу на газовое отопление СШ №21.</w:t>
      </w:r>
    </w:p>
    <w:p w:rsidR="00B60748" w:rsidRPr="005647C3" w:rsidRDefault="00B60748" w:rsidP="00564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линии УКС мэрии города Бишкек планируется перевод на газовое отопление СШ 19.  Кроме этого со стороны КП </w:t>
      </w:r>
      <w:r w:rsid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Бишкектеплоэнерго</w:t>
      </w:r>
      <w:proofErr w:type="spellEnd"/>
      <w:r w:rsid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выданы технические условия </w:t>
      </w:r>
      <w:proofErr w:type="gramStart"/>
      <w:r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Чуйскому</w:t>
      </w:r>
      <w:proofErr w:type="gramEnd"/>
      <w:r w:rsidRPr="00564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УКС на перевод угольных котельных на газовое трех школьных объектов.</w:t>
      </w:r>
    </w:p>
    <w:p w:rsidR="00E0227E" w:rsidRDefault="00E0227E" w:rsidP="0074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27E" w:rsidRDefault="00E0227E" w:rsidP="0074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блока ЖКХ</w:t>
      </w:r>
    </w:p>
    <w:p w:rsidR="00E0227E" w:rsidRDefault="00E0227E" w:rsidP="00744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Кыргызской Республики «Об объявлении 2020 года Годом развития регионов, 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 страны и поддержки детей» от 8 января 2020 года №1 в части 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 служб сферы ЖКХ проводится следующая работа.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 xml:space="preserve">В целях  оптимизации работ муниципальных предприятий  на сегодняшний день реализуется пилотный проект «Электронное 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ЖКХ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 xml:space="preserve">» основными целями 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96B4E" w:rsidRPr="009F1188" w:rsidRDefault="00F96B4E" w:rsidP="00F96B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188">
        <w:rPr>
          <w:rFonts w:ascii="Times New Roman" w:eastAsiaTheme="minorHAnsi" w:hAnsi="Times New Roman" w:cs="Times New Roman"/>
          <w:sz w:val="28"/>
          <w:szCs w:val="28"/>
          <w:lang w:eastAsia="en-US"/>
        </w:rPr>
        <w:t>Учёт производства работ</w:t>
      </w:r>
    </w:p>
    <w:p w:rsidR="00F96B4E" w:rsidRPr="009F1188" w:rsidRDefault="00F96B4E" w:rsidP="00F96B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18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Дистанционный мониторинг хода выполнения работ</w:t>
      </w:r>
    </w:p>
    <w:p w:rsidR="00F96B4E" w:rsidRPr="009F1188" w:rsidRDefault="00F96B4E" w:rsidP="00F96B4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11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Экономия производственных расходов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В рамках проекта на базе Департамента городского хозяйства мэрии города Бишкек планируется открыть единый информационный центр для выполнения ежедневного учета работ, проводимых муниципальными предприятиями в сфере ЖКХ.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 xml:space="preserve">На сегодняшний день Департамент городского хозяйства мэрии 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>ишкек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 совместно с Центром цифровых технологий мэрии 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г.Бишкек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 </w:t>
      </w:r>
      <w:r w:rsidRPr="009F1188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разрабатывается мобильное приложение «Учет производства работ». Проводится работа по внесению основных параметров в данную программу, то есть производственные программы муниципальных предприятий, база данных по спецтехнике и дополнительные работы, включая обращения и заявления граждан. 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Выполнение данных работ будут отображаться в режиме реального времени в данном мобильном приложение.</w:t>
      </w:r>
      <w:proofErr w:type="gramEnd"/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Для эффективной работы муниципальных предприятий и учета использования специализированной техники установлены 52 камеры видеонаблюдения: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• На территории полигона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- 8 камер;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• На территории базы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Тазалык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- 12 камер;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• На территории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Бишкекасфальтсервис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- 12 камер;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• На территории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Бишкекзеленхоз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- 8 камер;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• На территории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Бишкексвет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- 12 камер.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Также, ПЭУ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Бишкекводоканал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для выдачи технических условий перешел на электронный документооборот с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Бишкекглавархитектура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 xml:space="preserve"> двухсторонний скоростной VPN-канал. Начата работа по внедрению геоинформационной системы (ГИС) для создания электронной базы существующих водопроводных и канализационных сетей, сооружений (водозаборы и очистные сооружения).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В целях оперативного взаимодействия и решения вопросов для горожан ПЭУ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Бишкекводоканал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» запускает единую службу </w:t>
      </w:r>
      <w:proofErr w:type="spellStart"/>
      <w:proofErr w:type="gramStart"/>
      <w:r w:rsidRPr="009F1188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-центра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 xml:space="preserve"> с коротким номером  «1533».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В дальнейшем при возникновении проблемы с водоснабжением, горожане могут получить информацию по номеру «1533».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Данный проект запущен в тестовом режиме, поэтому прежние номера ПЭУ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Бишкекводоканал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 также принимают звонки.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Со стороны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Бишкектеплоэнерго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>» на сегодняшний день разработана интерактивная карта мощностей инженерных сетей. Предприятие для выдачи технических условий перешло на электронный документооборот с МП «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Бишкекглавархитектура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F118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F1188">
        <w:rPr>
          <w:rFonts w:ascii="Times New Roman" w:hAnsi="Times New Roman" w:cs="Times New Roman"/>
          <w:sz w:val="28"/>
          <w:szCs w:val="28"/>
        </w:rPr>
        <w:t xml:space="preserve"> двухсторонний скоростной VPN-канал.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Разработан кабинет абонента на официальном сайте, где будет предоставлена информация жителям города по лицевым счетам. Также производится оплата коммунальных услуг в онлайн режиме.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>Необходимо отметить, что автоматизирован учет солнечных коллекторов.</w:t>
      </w:r>
    </w:p>
    <w:p w:rsidR="00E0227E" w:rsidRDefault="00F96B4E" w:rsidP="00F9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188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«Улучшение системы управления ТБО в городе Бишкек», предусмотрено внедрение системы </w:t>
      </w:r>
      <w:proofErr w:type="spellStart"/>
      <w:r w:rsidRPr="009F1188">
        <w:rPr>
          <w:rFonts w:ascii="Times New Roman" w:hAnsi="Times New Roman" w:cs="Times New Roman"/>
          <w:sz w:val="28"/>
          <w:szCs w:val="28"/>
        </w:rPr>
        <w:t>Биллинг</w:t>
      </w:r>
      <w:proofErr w:type="spellEnd"/>
      <w:r w:rsidRPr="009F1188">
        <w:rPr>
          <w:rFonts w:ascii="Times New Roman" w:hAnsi="Times New Roman" w:cs="Times New Roman"/>
          <w:sz w:val="28"/>
          <w:szCs w:val="28"/>
        </w:rPr>
        <w:t xml:space="preserve">-центра. В результате реализации данной системы будет создан единый Информационный расчетный центр, который позволит усовершенствовать систему расчетов и сбора платежей за коммунальные услуги. В </w:t>
      </w:r>
      <w:r w:rsidRPr="009F1188">
        <w:rPr>
          <w:rFonts w:ascii="Times New Roman" w:hAnsi="Times New Roman" w:cs="Times New Roman"/>
          <w:sz w:val="28"/>
          <w:szCs w:val="28"/>
        </w:rPr>
        <w:lastRenderedPageBreak/>
        <w:t>дальнейшем возможности системы позволят объединить все коммунальные услуги в городе Бишкек под единую платформу (твердо-бытовые отходы, водопользование и водоотведение, лифт и т.д.).</w:t>
      </w:r>
    </w:p>
    <w:p w:rsidR="00F96B4E" w:rsidRDefault="00F96B4E" w:rsidP="00F9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B4E" w:rsidRPr="00F96B4E" w:rsidRDefault="00F96B4E" w:rsidP="00F96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4E">
        <w:rPr>
          <w:rFonts w:ascii="Times New Roman" w:hAnsi="Times New Roman" w:cs="Times New Roman"/>
          <w:b/>
          <w:sz w:val="28"/>
          <w:szCs w:val="28"/>
        </w:rPr>
        <w:t xml:space="preserve">В связи со </w:t>
      </w:r>
      <w:r w:rsidR="005647C3" w:rsidRPr="00F96B4E">
        <w:rPr>
          <w:rFonts w:ascii="Times New Roman" w:hAnsi="Times New Roman" w:cs="Times New Roman"/>
          <w:b/>
          <w:sz w:val="28"/>
          <w:szCs w:val="28"/>
        </w:rPr>
        <w:t>сложившейся</w:t>
      </w:r>
      <w:r w:rsidRPr="00F9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7C3" w:rsidRPr="00F96B4E">
        <w:rPr>
          <w:rFonts w:ascii="Times New Roman" w:hAnsi="Times New Roman" w:cs="Times New Roman"/>
          <w:b/>
          <w:sz w:val="28"/>
          <w:szCs w:val="28"/>
        </w:rPr>
        <w:t>эпидемиологической</w:t>
      </w:r>
      <w:r w:rsidRPr="00F96B4E">
        <w:rPr>
          <w:rFonts w:ascii="Times New Roman" w:hAnsi="Times New Roman" w:cs="Times New Roman"/>
          <w:b/>
          <w:sz w:val="28"/>
          <w:szCs w:val="28"/>
        </w:rPr>
        <w:t xml:space="preserve"> ситуацией в города Бишкек по блоку ЖКХ проводится следующая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6B4E" w:rsidRPr="009F1188" w:rsidRDefault="00F96B4E" w:rsidP="00F96B4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F1188">
        <w:rPr>
          <w:rFonts w:ascii="Times New Roman" w:eastAsia="Calibri" w:hAnsi="Times New Roman" w:cs="Times New Roman"/>
          <w:b/>
          <w:sz w:val="28"/>
          <w:szCs w:val="28"/>
        </w:rPr>
        <w:t>Работы по дезинфекции города Бишкек:</w:t>
      </w:r>
    </w:p>
    <w:p w:rsidR="00F96B4E" w:rsidRPr="00F91B1C" w:rsidRDefault="00F96B4E" w:rsidP="00F96B4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88">
        <w:rPr>
          <w:rFonts w:ascii="Times New Roman" w:eastAsia="Calibri" w:hAnsi="Times New Roman" w:cs="Times New Roman"/>
          <w:sz w:val="28"/>
          <w:szCs w:val="28"/>
        </w:rPr>
        <w:t>МП «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Тазалык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>» с 18 марта по 27 мая 2020 года проводились работы по дезинфекции 191 городских улиц, тротуаров, подземных и надземных пешеходных переходов, путепроводов, бетонных и металлических ограждений, мечетей, скамеек, жилых массивов города и мест обсерваций для прибывших граждан из стран с неблагополучн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эпидемиологической ситуацией. </w:t>
      </w:r>
      <w:r w:rsidRPr="009F1188">
        <w:rPr>
          <w:rFonts w:ascii="Times New Roman" w:eastAsia="Calibri" w:hAnsi="Times New Roman" w:cs="Times New Roman"/>
          <w:sz w:val="28"/>
          <w:szCs w:val="28"/>
        </w:rPr>
        <w:t>Всего для дезинфекции задействовано 76 работников, 24 единицы спецтехники.</w:t>
      </w:r>
      <w:r w:rsidRPr="009F118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</w:t>
      </w:r>
      <w:r w:rsidRPr="009F1188">
        <w:rPr>
          <w:rFonts w:ascii="Times New Roman" w:eastAsia="Calibri" w:hAnsi="Times New Roman" w:cs="Times New Roman"/>
          <w:sz w:val="28"/>
          <w:szCs w:val="28"/>
        </w:rPr>
        <w:t>Израсходовано финансовых средств на сумму 6 275 245 сомов,</w:t>
      </w:r>
      <w:r w:rsidRPr="009F118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21741</w:t>
      </w:r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 кг гипохлорита натрия (хлорка).</w:t>
      </w:r>
    </w:p>
    <w:p w:rsidR="00F96B4E" w:rsidRDefault="00F96B4E" w:rsidP="00F96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AD04D4">
        <w:rPr>
          <w:rFonts w:ascii="Times New Roman" w:eastAsia="Calibri" w:hAnsi="Times New Roman" w:cs="Times New Roman"/>
          <w:b/>
          <w:sz w:val="28"/>
          <w:szCs w:val="28"/>
          <w:lang w:val="ky-KG"/>
        </w:rPr>
        <w:t>С 27 июня по 3 июля 2020 года</w:t>
      </w: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проводится дезинфекция на 4  центральных улицах (ул. Т. Молдо, пр.Чуй, ул. Тыныстанова, бул. Эркиндик), всего было израсходовано 252 кг хлора и 686 л. жидкого гипохлорита кальция. Задействовано  было 11 ед. спецтехники, 11  работника МП “Тазалык”.  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9F118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МП </w:t>
      </w:r>
      <w:r w:rsidRPr="009F118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Тазалык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ОсОО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Комтранском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>» проведены работы по дезинфекции 865 контейнерных площадок для сбора твёрдых бытовых отходов, 5057 мусорных контейнеров, 1119 остановочных комплексов.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в данном направлении продолжаются.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188">
        <w:rPr>
          <w:rFonts w:ascii="Times New Roman" w:eastAsia="Calibri" w:hAnsi="Times New Roman" w:cs="Times New Roman"/>
          <w:sz w:val="28"/>
          <w:szCs w:val="28"/>
        </w:rPr>
        <w:t>Со стороны МП «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Бишкекгорлифт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» были  обработаны гипохлоритом кальция 1007 единиц обслуживаемых лифтов. </w:t>
      </w:r>
      <w:r w:rsidRPr="009F118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По состоянию на 27.05.2020 года </w:t>
      </w:r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произведена </w:t>
      </w:r>
      <w:r w:rsidRPr="009F1188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19 </w:t>
      </w:r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F1188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9F1188">
        <w:rPr>
          <w:rFonts w:ascii="Times New Roman" w:eastAsia="Calibri" w:hAnsi="Times New Roman" w:cs="Times New Roman"/>
          <w:sz w:val="28"/>
          <w:szCs w:val="28"/>
        </w:rPr>
        <w:t xml:space="preserve"> разовая обработка.</w:t>
      </w:r>
    </w:p>
    <w:p w:rsidR="00F96B4E" w:rsidRPr="009F1188" w:rsidRDefault="00F96B4E" w:rsidP="00F96B4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B4E" w:rsidRPr="00F96B4E" w:rsidRDefault="00F96B4E" w:rsidP="00F96B4E">
      <w:pPr>
        <w:pStyle w:val="a5"/>
        <w:jc w:val="both"/>
        <w:rPr>
          <w:b/>
          <w:color w:val="000000"/>
          <w:sz w:val="28"/>
          <w:szCs w:val="28"/>
          <w:lang w:val="ru-RU" w:eastAsia="ru-RU"/>
        </w:rPr>
      </w:pPr>
      <w:r w:rsidRPr="00F96B4E">
        <w:rPr>
          <w:b/>
          <w:color w:val="000000"/>
          <w:sz w:val="28"/>
          <w:szCs w:val="28"/>
          <w:lang w:val="ru-RU" w:eastAsia="ru-RU"/>
        </w:rPr>
        <w:t xml:space="preserve">      Информация о проделанной работе Санитарно-экологической инспекции мэрии города Бишкек:</w:t>
      </w:r>
      <w:r w:rsidRPr="00F96B4E">
        <w:rPr>
          <w:color w:val="000000"/>
          <w:sz w:val="28"/>
          <w:szCs w:val="28"/>
          <w:lang w:val="ru-RU" w:eastAsia="ru-RU"/>
        </w:rPr>
        <w:t xml:space="preserve">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22 марта 2020 года СЭИ работает в усиленном режиме работы. Были созданы 2 мобильные оперативные группы из 9-ти сотрудников Инспекции, находящиеся круглосуточно в административном помещении СЭИ и привлечённые к непосредственной работе Оперативного штаба по борьбе с распространением 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ликвидации её последствий на территории города Бишкек. </w:t>
      </w:r>
      <w:bookmarkStart w:id="1" w:name="_GoBack"/>
      <w:bookmarkEnd w:id="1"/>
    </w:p>
    <w:p w:rsidR="00F96B4E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исполнения распоряжения мэрии города Бишкек от 10 мая 2020 года № 77-р, также постановление мэрии города Бишкек от 1 июля 2020 года № 67 </w:t>
      </w:r>
      <w:r w:rsidRPr="003D4724">
        <w:rPr>
          <w:rFonts w:ascii="Times New Roman" w:hAnsi="Times New Roman" w:cs="Times New Roman"/>
          <w:sz w:val="28"/>
          <w:szCs w:val="28"/>
        </w:rPr>
        <w:t xml:space="preserve">о некоторых мерах по снижению риска заражения </w:t>
      </w:r>
      <w:proofErr w:type="spellStart"/>
      <w:r w:rsidRPr="003D47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4724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3D472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предотвращения  дальнейшего распространения  </w:t>
      </w:r>
      <w:proofErr w:type="spellStart"/>
      <w:r w:rsidRPr="003D4724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D4724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3D4724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3D4724">
        <w:rPr>
          <w:rFonts w:ascii="Times New Roman" w:hAnsi="Times New Roman" w:cs="Times New Roman"/>
          <w:color w:val="000000"/>
          <w:sz w:val="28"/>
          <w:szCs w:val="28"/>
        </w:rPr>
        <w:t xml:space="preserve">-19) и обеспечения  санитарно-эпидемиологического благополучия населения, Санитарно-экологическая инспекция мэрии города Бишкек  </w:t>
      </w:r>
      <w:r w:rsidRPr="003D4724">
        <w:rPr>
          <w:rFonts w:ascii="Times New Roman" w:hAnsi="Times New Roman" w:cs="Times New Roman"/>
          <w:sz w:val="28"/>
          <w:szCs w:val="28"/>
        </w:rPr>
        <w:t xml:space="preserve"> </w:t>
      </w:r>
      <w:r w:rsidRPr="003D4724">
        <w:rPr>
          <w:rFonts w:ascii="Times New Roman" w:hAnsi="Times New Roman" w:cs="Times New Roman"/>
          <w:sz w:val="28"/>
          <w:szCs w:val="28"/>
          <w:lang w:val="ky-KG"/>
        </w:rPr>
        <w:t xml:space="preserve">продолжает разъяснительную работу с владельцами, арендаторами хозяйствующих субъектов независимо от форм собственности (кафе, торговых центров, </w:t>
      </w:r>
      <w:r w:rsidRPr="003D4724">
        <w:rPr>
          <w:rFonts w:ascii="Times New Roman" w:hAnsi="Times New Roman" w:cs="Times New Roman"/>
          <w:sz w:val="28"/>
          <w:szCs w:val="28"/>
          <w:lang w:val="ky-KG"/>
        </w:rPr>
        <w:lastRenderedPageBreak/>
        <w:t>рынков, гипермаркетов, торговых точек и мест большого скопления людей),  в соответствии  с  требованиями статьи 293 Кодекса Кыргызской Республики о нарушениях (нарушение порядка выполнения решения, предписания, распоряжения или требования уполномоченного органа).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</w:t>
      </w:r>
      <w:r w:rsidRPr="003D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предотвращению дальнейшего распространения </w:t>
      </w:r>
      <w:proofErr w:type="spellStart"/>
      <w:r w:rsidRPr="003D472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D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на территории столицы на проведение дезинфекции работающих хозяйствующих субъектов независимо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форм собственности, торговых центров, гипермаркетов, рынков, кафе, работающие по доставке пищи, торговых 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 и их прилегающих территорий б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ыли выписаны предписания на проведение дезинфекции контейнерных площадок и контейнеров для сбора ТБО, находящихся на балансе МП «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Тазалык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ОсОО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Комтранском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ОсОО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«Жаны куч» и других</w:t>
      </w:r>
      <w:proofErr w:type="gram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специализирующихся предприятий по вывозу ТБО.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этим, была усилена работа, предусмотренная Кодексом Кыргызской Республики о нарушениях, в области </w:t>
      </w:r>
      <w:proofErr w:type="gram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санитарно-экологических норм на территории столицы.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Инспекции, курирующие вопросы инспектирования санитарной очистки и благоустройства территории осуществляли контроль в выходные и праздничные дни за санитарным состоянием территории города Бишкек.   </w:t>
      </w:r>
    </w:p>
    <w:p w:rsidR="00F96B4E" w:rsidRPr="00816827" w:rsidRDefault="00F96B4E" w:rsidP="00F96B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16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и соблюдения санитарно-экологических нормативов при обращении с твёрдо-бытовыми отходами инспекторами СЭИ   </w:t>
      </w:r>
      <w:r w:rsidRPr="00423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 период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января</w:t>
      </w:r>
      <w:r w:rsidRPr="00423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2</w:t>
      </w:r>
      <w:r w:rsidRPr="003D47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4231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июля 2020 года</w:t>
      </w:r>
      <w:r w:rsidRPr="00816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проверено </w:t>
      </w:r>
      <w:r w:rsidRPr="00E63EFF">
        <w:rPr>
          <w:rFonts w:ascii="Times New Roman" w:eastAsia="Times New Roman" w:hAnsi="Times New Roman" w:cs="Times New Roman"/>
          <w:color w:val="000000"/>
          <w:sz w:val="28"/>
          <w:szCs w:val="28"/>
        </w:rPr>
        <w:t>8013 хозяйствующих субъектов, выписано 346 предписаний (на ликвидацию стихийных свалок – 45, на благоустройство – 301).</w:t>
      </w:r>
      <w:r w:rsidRPr="00816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Инспекторами СЭИ ежедневно проводится обход по проводимой работе МП «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Тазалык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ОсОО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Комтранском</w:t>
      </w:r>
      <w:proofErr w:type="spellEnd"/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(по своевременному вывозу ТБО и качественного подбора вокруг контейнерных площадок для сбора ТБО), информация и фотокадры в электронном виде направляются через мобильное приложение </w:t>
      </w:r>
      <w:r w:rsidRPr="009F11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proofErr w:type="spellStart"/>
      <w:r w:rsidRPr="009F11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WhatsApp</w:t>
      </w:r>
      <w:proofErr w:type="spellEnd"/>
      <w:r w:rsidRPr="009F11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 в пресс-службу мэрии города Бишкек.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6B4E" w:rsidRPr="009F1188" w:rsidRDefault="00F96B4E" w:rsidP="00F96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Также проводится мониторинг и 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разъяснительная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работа о соблюдении Правил благоустройства г.Бишкек,  обеспечение чистоты и порядка на прилегающей территории, восстановление элементов благоустройства (ирригационная сеть, тротуарная и газонная часть) с руководителями МП 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Бишкекзеленхоз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1188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, МТУ, председателями  квартальных и домовых комитетов, ТСЖ, ЖСК, ЖЭК и владельцами  частных домовладений по уборке и  содержанию прилегающей территории в надлежащем состоянии.</w:t>
      </w:r>
    </w:p>
    <w:p w:rsidR="00F96B4E" w:rsidRPr="00F96B4E" w:rsidRDefault="00F96B4E" w:rsidP="00F96B4E">
      <w:pPr>
        <w:pStyle w:val="a5"/>
        <w:jc w:val="both"/>
        <w:rPr>
          <w:color w:val="000000"/>
          <w:sz w:val="28"/>
          <w:szCs w:val="28"/>
          <w:lang w:val="ru-RU" w:eastAsia="ru-RU"/>
        </w:rPr>
      </w:pPr>
      <w:r w:rsidRPr="00F96B4E">
        <w:rPr>
          <w:b/>
          <w:color w:val="000000"/>
          <w:sz w:val="28"/>
          <w:szCs w:val="28"/>
          <w:lang w:val="ru-RU" w:eastAsia="ru-RU"/>
        </w:rPr>
        <w:t xml:space="preserve">            С начала 2020 года  </w:t>
      </w:r>
      <w:r w:rsidRPr="00F96B4E">
        <w:rPr>
          <w:color w:val="000000"/>
          <w:sz w:val="28"/>
          <w:szCs w:val="28"/>
          <w:lang w:val="ru-RU" w:eastAsia="ru-RU"/>
        </w:rPr>
        <w:t xml:space="preserve">СЭИ было составлено </w:t>
      </w:r>
      <w:r w:rsidRPr="00F96B4E">
        <w:rPr>
          <w:b/>
          <w:color w:val="000000"/>
          <w:sz w:val="28"/>
          <w:szCs w:val="28"/>
          <w:lang w:val="ru-RU" w:eastAsia="ru-RU"/>
        </w:rPr>
        <w:t xml:space="preserve">695 </w:t>
      </w:r>
      <w:r w:rsidRPr="00F96B4E">
        <w:rPr>
          <w:color w:val="000000"/>
          <w:sz w:val="28"/>
          <w:szCs w:val="28"/>
          <w:lang w:val="ru-RU" w:eastAsia="ru-RU"/>
        </w:rPr>
        <w:t xml:space="preserve">протоколов о нарушениях на общую сумму </w:t>
      </w:r>
      <w:r w:rsidRPr="00F96B4E">
        <w:rPr>
          <w:b/>
          <w:color w:val="000000"/>
          <w:sz w:val="28"/>
          <w:szCs w:val="28"/>
          <w:lang w:val="ru-RU" w:eastAsia="ru-RU"/>
        </w:rPr>
        <w:t xml:space="preserve">5 </w:t>
      </w:r>
      <w:proofErr w:type="gramStart"/>
      <w:r w:rsidRPr="00F96B4E">
        <w:rPr>
          <w:b/>
          <w:color w:val="000000"/>
          <w:sz w:val="28"/>
          <w:szCs w:val="28"/>
          <w:lang w:val="ru-RU" w:eastAsia="ru-RU"/>
        </w:rPr>
        <w:t>млн</w:t>
      </w:r>
      <w:proofErr w:type="gramEnd"/>
      <w:r w:rsidRPr="00F96B4E">
        <w:rPr>
          <w:b/>
          <w:color w:val="000000"/>
          <w:sz w:val="28"/>
          <w:szCs w:val="28"/>
          <w:lang w:val="ru-RU" w:eastAsia="ru-RU"/>
        </w:rPr>
        <w:t xml:space="preserve"> 713 тысяч сомов</w:t>
      </w:r>
      <w:r w:rsidRPr="00F96B4E">
        <w:rPr>
          <w:color w:val="000000"/>
          <w:sz w:val="28"/>
          <w:szCs w:val="28"/>
          <w:lang w:val="ru-RU" w:eastAsia="ru-RU"/>
        </w:rPr>
        <w:t xml:space="preserve">. Из них, по статье 293 Кодекса </w:t>
      </w:r>
      <w:proofErr w:type="gramStart"/>
      <w:r w:rsidRPr="00F96B4E">
        <w:rPr>
          <w:color w:val="000000"/>
          <w:sz w:val="28"/>
          <w:szCs w:val="28"/>
          <w:lang w:val="ru-RU" w:eastAsia="ru-RU"/>
        </w:rPr>
        <w:t>КР</w:t>
      </w:r>
      <w:proofErr w:type="gramEnd"/>
      <w:r w:rsidRPr="00F96B4E">
        <w:rPr>
          <w:color w:val="000000"/>
          <w:sz w:val="28"/>
          <w:szCs w:val="28"/>
          <w:lang w:val="ru-RU" w:eastAsia="ru-RU"/>
        </w:rPr>
        <w:t xml:space="preserve"> о нарушениях было составлено </w:t>
      </w:r>
      <w:r w:rsidRPr="00F96B4E">
        <w:rPr>
          <w:b/>
          <w:color w:val="000000"/>
          <w:sz w:val="28"/>
          <w:szCs w:val="28"/>
          <w:lang w:val="ru-RU" w:eastAsia="ru-RU"/>
        </w:rPr>
        <w:t xml:space="preserve">273 </w:t>
      </w:r>
      <w:r w:rsidRPr="00F96B4E">
        <w:rPr>
          <w:color w:val="000000"/>
          <w:sz w:val="28"/>
          <w:szCs w:val="28"/>
          <w:lang w:val="ru-RU" w:eastAsia="ru-RU"/>
        </w:rPr>
        <w:t xml:space="preserve">протоколов о нарушениях на сумму </w:t>
      </w:r>
      <w:r w:rsidRPr="00F96B4E">
        <w:rPr>
          <w:b/>
          <w:color w:val="000000"/>
          <w:sz w:val="28"/>
          <w:szCs w:val="28"/>
          <w:lang w:val="ru-RU" w:eastAsia="ru-RU"/>
        </w:rPr>
        <w:t>1 млн 229 тысяч сомов.</w:t>
      </w:r>
    </w:p>
    <w:bookmarkEnd w:id="0"/>
    <w:p w:rsidR="00F96B4E" w:rsidRDefault="00F96B4E" w:rsidP="00F96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96B4E" w:rsidSect="00926C4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EAF"/>
    <w:multiLevelType w:val="hybridMultilevel"/>
    <w:tmpl w:val="BA04D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390"/>
    <w:multiLevelType w:val="hybridMultilevel"/>
    <w:tmpl w:val="2E303554"/>
    <w:lvl w:ilvl="0" w:tplc="F1D411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F152DE"/>
    <w:multiLevelType w:val="hybridMultilevel"/>
    <w:tmpl w:val="88665022"/>
    <w:lvl w:ilvl="0" w:tplc="0FC09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127B76"/>
    <w:multiLevelType w:val="hybridMultilevel"/>
    <w:tmpl w:val="4C82693C"/>
    <w:lvl w:ilvl="0" w:tplc="7EC0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036F41"/>
    <w:multiLevelType w:val="hybridMultilevel"/>
    <w:tmpl w:val="14206522"/>
    <w:lvl w:ilvl="0" w:tplc="40822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EC25C0"/>
    <w:multiLevelType w:val="hybridMultilevel"/>
    <w:tmpl w:val="56D21492"/>
    <w:lvl w:ilvl="0" w:tplc="50A66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031CD9"/>
    <w:multiLevelType w:val="hybridMultilevel"/>
    <w:tmpl w:val="CA5A74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BC2620"/>
    <w:multiLevelType w:val="hybridMultilevel"/>
    <w:tmpl w:val="4716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04"/>
    <w:rsid w:val="000208FD"/>
    <w:rsid w:val="00055304"/>
    <w:rsid w:val="000C76D5"/>
    <w:rsid w:val="001001CD"/>
    <w:rsid w:val="0019488B"/>
    <w:rsid w:val="00232AA4"/>
    <w:rsid w:val="00241CF2"/>
    <w:rsid w:val="002E5D4B"/>
    <w:rsid w:val="00305EB1"/>
    <w:rsid w:val="00366F58"/>
    <w:rsid w:val="00394AAF"/>
    <w:rsid w:val="003F3A1C"/>
    <w:rsid w:val="00416D87"/>
    <w:rsid w:val="00423CE1"/>
    <w:rsid w:val="004376EF"/>
    <w:rsid w:val="004A213D"/>
    <w:rsid w:val="004C44B3"/>
    <w:rsid w:val="005526EE"/>
    <w:rsid w:val="005647C3"/>
    <w:rsid w:val="00604826"/>
    <w:rsid w:val="007445DB"/>
    <w:rsid w:val="00745AC4"/>
    <w:rsid w:val="0077555A"/>
    <w:rsid w:val="007E0466"/>
    <w:rsid w:val="008D0530"/>
    <w:rsid w:val="008E7E05"/>
    <w:rsid w:val="00926C40"/>
    <w:rsid w:val="009729A1"/>
    <w:rsid w:val="009B5965"/>
    <w:rsid w:val="00A6197A"/>
    <w:rsid w:val="00B60748"/>
    <w:rsid w:val="00C423BA"/>
    <w:rsid w:val="00C93A35"/>
    <w:rsid w:val="00DA2388"/>
    <w:rsid w:val="00DA36DD"/>
    <w:rsid w:val="00E0227E"/>
    <w:rsid w:val="00E1711E"/>
    <w:rsid w:val="00E95833"/>
    <w:rsid w:val="00ED11E5"/>
    <w:rsid w:val="00EE3F1C"/>
    <w:rsid w:val="00F96B4E"/>
    <w:rsid w:val="00FC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4"/>
  </w:style>
  <w:style w:type="paragraph" w:styleId="1">
    <w:name w:val="heading 1"/>
    <w:basedOn w:val="a"/>
    <w:next w:val="a"/>
    <w:link w:val="10"/>
    <w:qFormat/>
    <w:rsid w:val="008E7E05"/>
    <w:pPr>
      <w:keepNext/>
      <w:spacing w:after="0" w:line="280" w:lineRule="auto"/>
      <w:ind w:firstLine="720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26C40"/>
    <w:pPr>
      <w:tabs>
        <w:tab w:val="left" w:pos="426"/>
        <w:tab w:val="left" w:pos="8789"/>
        <w:tab w:val="left" w:pos="9781"/>
      </w:tabs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26C4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E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34"/>
    <w:qFormat/>
    <w:rsid w:val="0077555A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77555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E7E0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t,???????? ????? ????"/>
    <w:basedOn w:val="a"/>
    <w:link w:val="a9"/>
    <w:rsid w:val="00FC0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bt Знак,???????? ????? ???? Знак"/>
    <w:basedOn w:val="a0"/>
    <w:link w:val="a8"/>
    <w:rsid w:val="00FC0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4"/>
  </w:style>
  <w:style w:type="paragraph" w:styleId="1">
    <w:name w:val="heading 1"/>
    <w:basedOn w:val="a"/>
    <w:next w:val="a"/>
    <w:link w:val="10"/>
    <w:qFormat/>
    <w:rsid w:val="008E7E05"/>
    <w:pPr>
      <w:keepNext/>
      <w:spacing w:after="0" w:line="280" w:lineRule="auto"/>
      <w:ind w:firstLine="720"/>
      <w:jc w:val="both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26C40"/>
    <w:pPr>
      <w:tabs>
        <w:tab w:val="left" w:pos="426"/>
        <w:tab w:val="left" w:pos="8789"/>
        <w:tab w:val="left" w:pos="9781"/>
      </w:tabs>
      <w:spacing w:after="0" w:line="240" w:lineRule="auto"/>
      <w:ind w:left="360" w:right="28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rsid w:val="00926C40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2E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D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7"/>
    <w:uiPriority w:val="34"/>
    <w:qFormat/>
    <w:rsid w:val="0077555A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77555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E7E0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ody Text"/>
    <w:aliases w:val="bt,???????? ????? ????"/>
    <w:basedOn w:val="a"/>
    <w:link w:val="a9"/>
    <w:rsid w:val="00FC0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aliases w:val="bt Знак,???????? ????? ???? Знак"/>
    <w:basedOn w:val="a0"/>
    <w:link w:val="a8"/>
    <w:rsid w:val="00FC07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3216</Words>
  <Characters>18333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Айбек Бакатаев</dc:creator>
  <cp:lastModifiedBy>Калперизат Айдарбекова Айдарбековна</cp:lastModifiedBy>
  <cp:revision>2</cp:revision>
  <dcterms:created xsi:type="dcterms:W3CDTF">2020-07-30T12:09:00Z</dcterms:created>
  <dcterms:modified xsi:type="dcterms:W3CDTF">2020-07-30T12:09:00Z</dcterms:modified>
</cp:coreProperties>
</file>